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proofErr w:type="gramStart"/>
      <w:r>
        <w:t>]:</w:t>
      </w:r>
      <w:proofErr w:type="gramEnd"/>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proofErr w:type="gramStart"/>
            <w:r>
              <w:rPr>
                <w:i/>
              </w:rPr>
              <w:t>uniquement</w:t>
            </w:r>
            <w:proofErr w:type="gramEnd"/>
            <w:r>
              <w:rPr>
                <w:i/>
              </w:rPr>
              <w:t xml:space="preserve">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proofErr w:type="gramStart"/>
            <w:r>
              <w:rPr>
                <w:i/>
              </w:rPr>
              <w:t>uniquement</w:t>
            </w:r>
            <w:proofErr w:type="gramEnd"/>
            <w:r>
              <w:rPr>
                <w:i/>
              </w:rPr>
              <w:t xml:space="preserve">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w:t>
            </w:r>
            <w:proofErr w:type="gramStart"/>
            <w:r>
              <w:t>passeport:</w:t>
            </w:r>
            <w:proofErr w:type="gramEnd"/>
            <w:r>
              <w:t xml:space="preserve">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 xml:space="preserve">(«la </w:t>
            </w:r>
            <w:proofErr w:type="gramStart"/>
            <w:r>
              <w:t>personne»</w:t>
            </w:r>
            <w:proofErr w:type="gramEnd"/>
            <w:r>
              <w:t>)</w:t>
            </w:r>
          </w:p>
        </w:tc>
        <w:tc>
          <w:tcPr>
            <w:tcW w:w="6378" w:type="dxa"/>
            <w:shd w:val="clear" w:color="auto" w:fill="auto"/>
          </w:tcPr>
          <w:p w14:paraId="0E11D312" w14:textId="77777777" w:rsidR="0050790F" w:rsidRPr="00583379" w:rsidRDefault="0050790F" w:rsidP="004E3C57">
            <w:pPr>
              <w:rPr>
                <w:b/>
              </w:rPr>
            </w:pPr>
            <w:r>
              <w:t xml:space="preserve">Dénomination officielle </w:t>
            </w:r>
            <w:proofErr w:type="gramStart"/>
            <w:r>
              <w:t>complète:</w:t>
            </w:r>
            <w:proofErr w:type="gramEnd"/>
          </w:p>
          <w:p w14:paraId="5CDB17CE" w14:textId="77777777" w:rsidR="0050790F" w:rsidRPr="00892BCE" w:rsidRDefault="0050790F" w:rsidP="004E3C57">
            <w:r>
              <w:t xml:space="preserve">Forme juridique </w:t>
            </w:r>
            <w:proofErr w:type="gramStart"/>
            <w:r>
              <w:t>officielle:</w:t>
            </w:r>
            <w:proofErr w:type="gramEnd"/>
            <w:r>
              <w:t xml:space="preserve"> </w:t>
            </w:r>
          </w:p>
          <w:p w14:paraId="5C2D1180" w14:textId="77777777" w:rsidR="0050790F" w:rsidRPr="00583379" w:rsidRDefault="0050790F" w:rsidP="004E3C57">
            <w:pPr>
              <w:rPr>
                <w:b/>
              </w:rPr>
            </w:pPr>
            <w:r>
              <w:t xml:space="preserve">Numéro d’enregistrement </w:t>
            </w:r>
            <w:proofErr w:type="gramStart"/>
            <w:r>
              <w:t>légal:</w:t>
            </w:r>
            <w:proofErr w:type="gramEnd"/>
            <w:r>
              <w:rPr>
                <w:b/>
              </w:rPr>
              <w:t xml:space="preserve"> </w:t>
            </w:r>
          </w:p>
          <w:p w14:paraId="48054945" w14:textId="77777777" w:rsidR="0050790F" w:rsidRPr="00583379" w:rsidRDefault="0050790F" w:rsidP="004E3C57">
            <w:pPr>
              <w:rPr>
                <w:b/>
              </w:rPr>
            </w:pPr>
            <w:r>
              <w:t xml:space="preserve">Adresse officielle </w:t>
            </w:r>
            <w:proofErr w:type="gramStart"/>
            <w:r>
              <w:t>complète:</w:t>
            </w:r>
            <w:proofErr w:type="gramEnd"/>
            <w:r>
              <w:t xml:space="preserve"> </w:t>
            </w:r>
          </w:p>
          <w:p w14:paraId="0DD8B9E1" w14:textId="77777777" w:rsidR="0050790F" w:rsidRDefault="0050790F" w:rsidP="004E3C57">
            <w:r>
              <w:t xml:space="preserve">Nº d’immatriculation à la </w:t>
            </w:r>
            <w:proofErr w:type="gramStart"/>
            <w:r>
              <w:t>TVA:</w:t>
            </w:r>
            <w:proofErr w:type="gramEnd"/>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t xml:space="preserve">(«la </w:t>
            </w:r>
            <w:proofErr w:type="gramStart"/>
            <w:r>
              <w:t>personne»</w:t>
            </w:r>
            <w:proofErr w:type="gramEnd"/>
            <w:r>
              <w:t>)</w:t>
            </w:r>
          </w:p>
        </w:tc>
      </w:tr>
    </w:tbl>
    <w:p w14:paraId="6FBDBFA9" w14:textId="77777777" w:rsidR="0050790F" w:rsidRDefault="0050790F" w:rsidP="0050790F">
      <w:pPr>
        <w:jc w:val="both"/>
        <w:rPr>
          <w:i/>
        </w:rPr>
      </w:pPr>
    </w:p>
    <w:p w14:paraId="5D6E96D3" w14:textId="346326A1" w:rsidR="0050790F" w:rsidRDefault="0050790F" w:rsidP="0050790F">
      <w:pPr>
        <w:jc w:val="both"/>
      </w:pPr>
      <w:r>
        <w:t xml:space="preserve">La personne n’est pas tenue de présenter la déclaration relative aux critères d’exclusion lorsque celle-ci a déjà été présentée aux fins d’une autre procédure d’attribution du même pouvoir adjudicateur, pour autant que la situation n’ait pas changé et que la </w:t>
      </w:r>
      <w:proofErr w:type="gramStart"/>
      <w:r>
        <w:t>période de temps</w:t>
      </w:r>
      <w:proofErr w:type="gramEnd"/>
      <w:r>
        <w:t xml:space="preserve">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w:t>
      </w:r>
      <w:proofErr w:type="gramStart"/>
      <w:r>
        <w:t>situation:</w:t>
      </w:r>
      <w:proofErr w:type="gramEnd"/>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w:t>
            </w:r>
            <w:proofErr w:type="gramStart"/>
            <w:r>
              <w:t>déclare</w:t>
            </w:r>
            <w:proofErr w:type="gramEnd"/>
            <w:r>
              <w:t xml:space="preserv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proofErr w:type="gramStart"/>
            <w:r>
              <w:t>elle</w:t>
            </w:r>
            <w:proofErr w:type="gramEnd"/>
            <w:r>
              <w:t xml:space="preserv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proofErr w:type="gramStart"/>
            <w:r>
              <w:t>il</w:t>
            </w:r>
            <w:proofErr w:type="gramEnd"/>
            <w:r>
              <w:t xml:space="preserve">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w:t>
            </w:r>
            <w:r>
              <w:lastRenderedPageBreak/>
              <w:t>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1"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2" w:name="_DV_C369"/>
            <w:r>
              <w:rPr>
                <w:color w:val="000000"/>
              </w:rPr>
              <w:t>ii) conclusion d’un accord avec d’autres personnes en vue de fausser la concurrence,</w:t>
            </w:r>
            <w:bookmarkEnd w:id="2"/>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3" w:name="_DV_C371"/>
            <w:r>
              <w:rPr>
                <w:color w:val="000000"/>
              </w:rPr>
              <w:t>iii) violation de droits de propriété intellectuelle,</w:t>
            </w:r>
            <w:bookmarkEnd w:id="3"/>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4" w:name="_DV_C372"/>
            <w:r>
              <w:rPr>
                <w:color w:val="000000"/>
              </w:rPr>
              <w:t>iv) tentative d’influer sur le processus décisionnel du pouvoir adjudicateur lors de la procédure d’attribution,</w:t>
            </w:r>
            <w:bookmarkEnd w:id="4"/>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t xml:space="preserve">v) tentative d’obtenir des informations confidentielles susceptibles de lui donner un avantage indu lors de la procédure </w:t>
            </w:r>
            <w:proofErr w:type="gramStart"/>
            <w:r>
              <w:t>d’attribution;</w:t>
            </w:r>
            <w:bookmarkEnd w:id="5"/>
            <w:proofErr w:type="gramEnd"/>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proofErr w:type="gramStart"/>
            <w:r>
              <w:t>il</w:t>
            </w:r>
            <w:proofErr w:type="gramEnd"/>
            <w:r>
              <w:t xml:space="preserve">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6" w:name="_DV_C378"/>
            <w:r>
              <w:t>,</w:t>
            </w:r>
            <w:bookmarkEnd w:id="6"/>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7"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t xml:space="preserve"> de l’Union européenne, établie par l’acte du Conseil du 26 mai 1997, ou les actes visés à l’article 2, paragraphe 1, de la décision-cadre 2003/568/JAI du Conseil</w:t>
            </w:r>
            <w:bookmarkStart w:id="9" w:name="_DV_C383"/>
            <w:bookmarkEnd w:id="8"/>
            <w:r>
              <w:t>, ou la corruption telle qu’elle est définie dans d’autres droits applicables,</w:t>
            </w:r>
            <w:bookmarkEnd w:id="9"/>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0" w:name="_DV_C384"/>
            <w:r>
              <w:t>iii)</w:t>
            </w:r>
            <w:bookmarkStart w:id="11" w:name="_DV_M250"/>
            <w:bookmarkEnd w:id="10"/>
            <w:bookmarkEnd w:id="11"/>
            <w:r>
              <w:t xml:space="preserve"> les comportements liés à une organisation criminelle </w:t>
            </w:r>
            <w:bookmarkStart w:id="12" w:name="_DV_C385"/>
            <w:r>
              <w:t>visés à l’article 2 de la décision-cadre 2008/841/JAI du Conseil</w:t>
            </w:r>
            <w:bookmarkStart w:id="13" w:name="_DV_C387"/>
            <w:bookmarkEnd w:id="12"/>
            <w:r>
              <w:t>,</w:t>
            </w:r>
            <w:bookmarkEnd w:id="13"/>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4" w:name="_DV_M251"/>
            <w:bookmarkEnd w:id="14"/>
            <w:r>
              <w:t xml:space="preserve"> le blanchiment de capitaux</w:t>
            </w:r>
            <w:bookmarkStart w:id="15" w:name="_DV_C391"/>
            <w:r>
              <w:t xml:space="preserve"> ou</w:t>
            </w:r>
            <w:bookmarkStart w:id="16" w:name="_DV_M252"/>
            <w:bookmarkEnd w:id="15"/>
            <w:bookmarkEnd w:id="16"/>
            <w:r>
              <w:t xml:space="preserve"> le financement du terrorisme </w:t>
            </w:r>
            <w:bookmarkStart w:id="17" w:name="_DV_C392"/>
            <w:r>
              <w:t>au sens de l’article 1</w:t>
            </w:r>
            <w:r>
              <w:rPr>
                <w:vertAlign w:val="superscript"/>
              </w:rPr>
              <w:t>er</w:t>
            </w:r>
            <w:r>
              <w:t>, paragraphes 3, 4 et 5, de la directive (UE) 2015/849 du Parlement européen et du Conseil</w:t>
            </w:r>
            <w:bookmarkStart w:id="18" w:name="_DV_C394"/>
            <w:bookmarkEnd w:id="17"/>
            <w:r>
              <w:t>,</w:t>
            </w:r>
            <w:bookmarkEnd w:id="18"/>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19" w:name="_DV_C395"/>
            <w:r>
              <w:rPr>
                <w:color w:val="000000"/>
              </w:rPr>
              <w:t>v)</w:t>
            </w:r>
            <w:bookmarkStart w:id="20" w:name="_DV_M253"/>
            <w:bookmarkEnd w:id="19"/>
            <w:bookmarkEnd w:id="20"/>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w:t>
            </w:r>
            <w:proofErr w:type="gramStart"/>
            <w:r w:rsidR="003B4F4F">
              <w:rPr>
                <w:color w:val="000000"/>
                <w:lang w:val="fr-BE"/>
              </w:rPr>
              <w:t>terrorisme;</w:t>
            </w:r>
            <w:proofErr w:type="gramEnd"/>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t xml:space="preserve">vi) </w:t>
            </w:r>
            <w:bookmarkStart w:id="22" w:name="_DV_M254"/>
            <w:bookmarkEnd w:id="21"/>
            <w:bookmarkEnd w:id="22"/>
            <w:r>
              <w:t xml:space="preserve">le travail des enfants ou les autres infractions liées à la traite des êtres humains </w:t>
            </w:r>
            <w:bookmarkStart w:id="23" w:name="_DV_C402"/>
            <w:r>
              <w:t xml:space="preserve">visées à l’article 2 de la directive 2011/36/UE du Parlement européen et du </w:t>
            </w:r>
            <w:proofErr w:type="gramStart"/>
            <w:r>
              <w:t>Conseil</w:t>
            </w:r>
            <w:bookmarkStart w:id="24" w:name="_DV_C404"/>
            <w:bookmarkEnd w:id="23"/>
            <w:r>
              <w:t>;</w:t>
            </w:r>
            <w:bookmarkEnd w:id="24"/>
            <w:proofErr w:type="gramEnd"/>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proofErr w:type="gramStart"/>
            <w:r>
              <w:t>elle</w:t>
            </w:r>
            <w:proofErr w:type="gramEnd"/>
            <w:r>
              <w:t xml:space="preserve"> a gravement manqué à des obligations essentielles dans l’exécution d’un marché ou d’une convention financés par le budget de l’Union, ce qui a conduit à la résiliation anticipée du marché ou de la convention ou à </w:t>
            </w:r>
            <w:r>
              <w:lastRenderedPageBreak/>
              <w:t xml:space="preserve">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proofErr w:type="gramStart"/>
            <w:r>
              <w:t>il</w:t>
            </w:r>
            <w:proofErr w:type="gramEnd"/>
            <w:r>
              <w:t xml:space="preserve">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5"/>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proofErr w:type="gramStart"/>
            <w:r>
              <w:rPr>
                <w:color w:val="000000"/>
              </w:rPr>
              <w:t>il</w:t>
            </w:r>
            <w:proofErr w:type="gramEnd"/>
            <w:r>
              <w:rPr>
                <w:color w:val="000000"/>
              </w:rPr>
              <w:t xml:space="preserve">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proofErr w:type="gramStart"/>
            <w:r>
              <w:rPr>
                <w:i/>
              </w:rPr>
              <w:t>uniquement</w:t>
            </w:r>
            <w:proofErr w:type="gramEnd"/>
            <w:r>
              <w:rPr>
                <w:i/>
              </w:rPr>
              <w:t xml:space="preserve">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proofErr w:type="gramStart"/>
            <w:r>
              <w:t>déclare</w:t>
            </w:r>
            <w:proofErr w:type="gramEnd"/>
            <w:r>
              <w:t xml:space="preserv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proofErr w:type="gramStart"/>
            <w:r>
              <w:rPr>
                <w:rFonts w:eastAsia="Calibri"/>
                <w:color w:val="000000"/>
                <w:lang w:val="fr-BE" w:eastAsia="zh-CN"/>
              </w:rPr>
              <w:t>tombe</w:t>
            </w:r>
            <w:proofErr w:type="gramEnd"/>
            <w:r>
              <w:rPr>
                <w:rFonts w:eastAsia="Calibri"/>
                <w:color w:val="000000"/>
                <w:lang w:val="fr-BE" w:eastAsia="zh-CN"/>
              </w:rPr>
              <w:t xml:space="preserv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proofErr w:type="gramStart"/>
            <w:r>
              <w:rPr>
                <w:rFonts w:eastAsia="Calibri"/>
                <w:color w:val="000000"/>
                <w:lang w:val="fr-BE" w:eastAsia="zh-CN"/>
              </w:rPr>
              <w:t>fait</w:t>
            </w:r>
            <w:proofErr w:type="gramEnd"/>
            <w:r>
              <w:rPr>
                <w:rFonts w:eastAsia="Calibri"/>
                <w:color w:val="000000"/>
                <w:lang w:val="fr-BE" w:eastAsia="zh-CN"/>
              </w:rPr>
              <w:t xml:space="preserve">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proofErr w:type="gramStart"/>
            <w:r>
              <w:rPr>
                <w:rFonts w:eastAsia="Calibri"/>
                <w:color w:val="000000"/>
                <w:lang w:val="fr-BE" w:eastAsia="zh-CN"/>
              </w:rPr>
              <w:t>tombe</w:t>
            </w:r>
            <w:proofErr w:type="gramEnd"/>
            <w:r>
              <w:rPr>
                <w:rFonts w:eastAsia="Calibri"/>
                <w:color w:val="000000"/>
                <w:lang w:val="fr-BE" w:eastAsia="zh-CN"/>
              </w:rPr>
              <w:t xml:space="preserv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w:t>
            </w:r>
            <w:proofErr w:type="gramStart"/>
            <w:r>
              <w:rPr>
                <w:rFonts w:eastAsia="Calibri"/>
                <w:color w:val="000000"/>
                <w:lang w:val="fr-BE" w:eastAsia="zh-CN"/>
              </w:rPr>
              <w:t>est</w:t>
            </w:r>
            <w:proofErr w:type="gramEnd"/>
            <w:r>
              <w:rPr>
                <w:rFonts w:eastAsia="Calibri"/>
                <w:color w:val="000000"/>
                <w:lang w:val="fr-BE" w:eastAsia="zh-CN"/>
              </w:rPr>
              <w:t xml:space="preserve">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w:t>
            </w:r>
            <w:proofErr w:type="gramStart"/>
            <w:r>
              <w:rPr>
                <w:rFonts w:eastAsia="Calibri"/>
                <w:color w:val="000000"/>
                <w:lang w:val="fr-BE" w:eastAsia="zh-CN"/>
              </w:rPr>
              <w:t>fait</w:t>
            </w:r>
            <w:proofErr w:type="gramEnd"/>
            <w:r>
              <w:rPr>
                <w:rFonts w:eastAsia="Calibri"/>
                <w:color w:val="000000"/>
                <w:lang w:val="fr-BE" w:eastAsia="zh-CN"/>
              </w:rPr>
              <w:t xml:space="preserve">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proofErr w:type="gramStart"/>
            <w:r>
              <w:rPr>
                <w:rFonts w:eastAsia="Calibri"/>
                <w:color w:val="000000"/>
                <w:lang w:val="fr-BE" w:eastAsia="zh-CN"/>
              </w:rPr>
              <w:t>est</w:t>
            </w:r>
            <w:proofErr w:type="gramEnd"/>
            <w:r>
              <w:rPr>
                <w:rFonts w:eastAsia="Calibri"/>
                <w:color w:val="000000"/>
                <w:lang w:val="fr-BE" w:eastAsia="zh-CN"/>
              </w:rPr>
              <w:t xml:space="preserve">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proofErr w:type="gramStart"/>
            <w:r>
              <w:t>situation</w:t>
            </w:r>
            <w:proofErr w:type="gramEnd"/>
            <w:r>
              <w:t xml:space="preserve">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proofErr w:type="gramStart"/>
            <w:r>
              <w:t>situation</w:t>
            </w:r>
            <w:proofErr w:type="gramEnd"/>
            <w:r>
              <w:t xml:space="preserve">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proofErr w:type="gramStart"/>
            <w:r>
              <w:t>situation</w:t>
            </w:r>
            <w:proofErr w:type="gramEnd"/>
            <w:r>
              <w:t xml:space="preserve">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proofErr w:type="gramStart"/>
            <w:r>
              <w:t>situation</w:t>
            </w:r>
            <w:proofErr w:type="gramEnd"/>
            <w:r>
              <w:t xml:space="preserve">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proofErr w:type="gramStart"/>
            <w:r>
              <w:t>situation</w:t>
            </w:r>
            <w:proofErr w:type="gramEnd"/>
            <w:r>
              <w:t xml:space="preserve">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proofErr w:type="gramStart"/>
            <w:r>
              <w:t>situation</w:t>
            </w:r>
            <w:proofErr w:type="gramEnd"/>
            <w:r>
              <w:t xml:space="preserve">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w:t>
            </w:r>
            <w:proofErr w:type="gramStart"/>
            <w:r>
              <w:t>déclare</w:t>
            </w:r>
            <w:proofErr w:type="gramEnd"/>
            <w:r>
              <w:t xml:space="preserv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proofErr w:type="gramStart"/>
            <w:r>
              <w:t>situation</w:t>
            </w:r>
            <w:proofErr w:type="gramEnd"/>
            <w:r>
              <w:t xml:space="preserve">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proofErr w:type="gramStart"/>
            <w:r>
              <w:t>situation</w:t>
            </w:r>
            <w:proofErr w:type="gramEnd"/>
            <w:r>
              <w:t xml:space="preserve">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45C00143" w14:textId="2A1408E4" w:rsidR="003B4F4F" w:rsidRDefault="003B4F4F" w:rsidP="0078019C">
      <w:pPr>
        <w:pStyle w:val="Titre"/>
      </w:pPr>
    </w:p>
    <w:p w14:paraId="5DA5E074" w14:textId="77777777" w:rsidR="005D262A" w:rsidRPr="00753D50" w:rsidRDefault="005D262A"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w:t>
            </w:r>
            <w:proofErr w:type="gramStart"/>
            <w:r>
              <w:t>déclare</w:t>
            </w:r>
            <w:proofErr w:type="gramEnd"/>
            <w:r>
              <w:t xml:space="preserv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151DEA4" w:rsidR="00D52827" w:rsidRPr="00F76ABA" w:rsidRDefault="00D52827" w:rsidP="00E64082">
      <w:pPr>
        <w:spacing w:before="120" w:after="120"/>
        <w:ind w:firstLine="11"/>
        <w:jc w:val="both"/>
        <w:rPr>
          <w:noProof/>
        </w:rPr>
      </w:pPr>
      <w:r>
        <w:t xml:space="preserve">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w:t>
      </w:r>
      <w:proofErr w:type="gramStart"/>
      <w:r>
        <w:t>personne:</w:t>
      </w:r>
      <w:proofErr w:type="gramEnd"/>
    </w:p>
    <w:p w14:paraId="3B233156" w14:textId="33A781F1" w:rsidR="00D52827" w:rsidRPr="00D52827" w:rsidRDefault="00D52827" w:rsidP="00D52827">
      <w:pPr>
        <w:pStyle w:val="Text1"/>
        <w:spacing w:before="100" w:beforeAutospacing="1" w:after="100" w:afterAutospacing="1"/>
        <w:ind w:left="284"/>
        <w:rPr>
          <w:noProof/>
        </w:rPr>
      </w:pPr>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EDE7272" w14:textId="2E26A84A" w:rsidR="00D52827" w:rsidRDefault="00D52827" w:rsidP="00D52827">
      <w:pPr>
        <w:spacing w:before="100" w:beforeAutospacing="1" w:after="100" w:afterAutospacing="1"/>
        <w:jc w:val="both"/>
      </w:pPr>
      <w:r>
        <w:lastRenderedPageBreak/>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76D96490" w14:textId="77777777" w:rsidR="00056491" w:rsidRDefault="00056491" w:rsidP="00056491">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w:t>
      </w:r>
      <w:proofErr w:type="gramStart"/>
      <w:r>
        <w:t>situation:</w:t>
      </w:r>
      <w:proofErr w:type="gramEnd"/>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Pr>
                <w:b/>
                <w:sz w:val="22"/>
              </w:rPr>
              <w:t>Référence complète de la précédente procédure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Pr>
                <w:i/>
                <w:highlight w:val="lightGray"/>
              </w:rPr>
              <w:t>Insérer autant de lignes que nécessaire.</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proofErr w:type="gramStart"/>
            <w:r>
              <w:t>déclare</w:t>
            </w:r>
            <w:proofErr w:type="gramEnd"/>
            <w:r>
              <w:t xml:space="preserv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3F74992D" w:rsidR="00056491" w:rsidRDefault="00056491" w:rsidP="00AA7378">
            <w:pPr>
              <w:pStyle w:val="Text1"/>
              <w:numPr>
                <w:ilvl w:val="0"/>
                <w:numId w:val="7"/>
              </w:numPr>
              <w:spacing w:before="40" w:after="40"/>
              <w:rPr>
                <w:noProof/>
              </w:rPr>
            </w:pPr>
            <w:proofErr w:type="gramStart"/>
            <w:r>
              <w:t>elle</w:t>
            </w:r>
            <w:proofErr w:type="gramEnd"/>
            <w:r>
              <w:t xml:space="preserve"> a la capacité d’exercer l’activité professionnelle d’un point de vue légal et réglementaire, nécessaire à l’exécution du marché, conformément aux dispositions de la section </w:t>
            </w:r>
            <w:r w:rsidR="005436FF">
              <w:t xml:space="preserve">12.2 </w:t>
            </w:r>
            <w:r>
              <w:t>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056491" w14:paraId="0E84A4F4" w14:textId="77777777" w:rsidTr="004E3C57">
        <w:tc>
          <w:tcPr>
            <w:tcW w:w="7344" w:type="dxa"/>
            <w:shd w:val="clear" w:color="auto" w:fill="auto"/>
          </w:tcPr>
          <w:p w14:paraId="599FD8E4" w14:textId="1B78E1B2" w:rsidR="00056491" w:rsidRDefault="00056491">
            <w:pPr>
              <w:pStyle w:val="Text1"/>
              <w:numPr>
                <w:ilvl w:val="0"/>
                <w:numId w:val="7"/>
              </w:numPr>
              <w:spacing w:before="40" w:after="40"/>
              <w:rPr>
                <w:noProof/>
              </w:rPr>
            </w:pPr>
            <w:proofErr w:type="gramStart"/>
            <w:r>
              <w:t>elle</w:t>
            </w:r>
            <w:proofErr w:type="gramEnd"/>
            <w:r>
              <w:t xml:space="preserve"> remplit les critères économiques et financiers applicables, mentionnés à la section </w:t>
            </w:r>
            <w:r w:rsidR="005436FF">
              <w:t xml:space="preserve">12.2 </w:t>
            </w:r>
            <w:r w:rsidR="00CD37D5">
              <w:t>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056491" w14:paraId="694283EA" w14:textId="77777777" w:rsidTr="004E3C57">
        <w:tc>
          <w:tcPr>
            <w:tcW w:w="7344" w:type="dxa"/>
            <w:shd w:val="clear" w:color="auto" w:fill="auto"/>
          </w:tcPr>
          <w:p w14:paraId="11B8D6D9" w14:textId="799C5D4E" w:rsidR="00056491" w:rsidRDefault="00056491">
            <w:pPr>
              <w:pStyle w:val="Text1"/>
              <w:numPr>
                <w:ilvl w:val="0"/>
                <w:numId w:val="7"/>
              </w:numPr>
              <w:spacing w:before="40" w:after="40"/>
              <w:rPr>
                <w:noProof/>
              </w:rPr>
            </w:pPr>
            <w:proofErr w:type="gramStart"/>
            <w:r>
              <w:t>elle</w:t>
            </w:r>
            <w:proofErr w:type="gramEnd"/>
            <w:r>
              <w:t xml:space="preserve"> remplit les critères techniques applicables, mentionnés à la section </w:t>
            </w:r>
            <w:r w:rsidR="005436FF">
              <w:t xml:space="preserve">12.2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030EA4" w14:paraId="5A149281" w14:textId="77777777" w:rsidTr="004E3C57">
        <w:tc>
          <w:tcPr>
            <w:tcW w:w="7344" w:type="dxa"/>
            <w:shd w:val="clear" w:color="auto" w:fill="auto"/>
          </w:tcPr>
          <w:p w14:paraId="4A759C3D" w14:textId="14B209B1" w:rsidR="00030EA4" w:rsidRDefault="00030EA4" w:rsidP="00030EA4">
            <w:pPr>
              <w:pStyle w:val="Text1"/>
              <w:numPr>
                <w:ilvl w:val="0"/>
                <w:numId w:val="7"/>
              </w:numPr>
              <w:spacing w:before="40" w:after="40"/>
            </w:pPr>
            <w:proofErr w:type="gramStart"/>
            <w:r>
              <w:t>e</w:t>
            </w:r>
            <w:r w:rsidRPr="00030EA4">
              <w:t>lle</w:t>
            </w:r>
            <w:proofErr w:type="gramEnd"/>
            <w:r w:rsidRPr="00030EA4">
              <w:t xml:space="preserve"> remplit les critères professionnels applicables indiqués à la section </w:t>
            </w:r>
            <w:r w:rsidR="005436FF">
              <w:t xml:space="preserve">12.2 des </w:t>
            </w:r>
            <w:r w:rsidRPr="00030EA4">
              <w:t>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proofErr w:type="gramStart"/>
            <w:r>
              <w:t>elle</w:t>
            </w:r>
            <w:proofErr w:type="gramEnd"/>
            <w:r>
              <w:t xml:space="preserv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340F4230" w14:textId="77777777" w:rsidR="001A2765" w:rsidRDefault="001A2765" w:rsidP="00495C7E">
      <w:pPr>
        <w:rPr>
          <w:b/>
          <w:i/>
          <w:color w:val="0070C0"/>
        </w:rPr>
      </w:pPr>
    </w:p>
    <w:p w14:paraId="37CB9F5F" w14:textId="1E2EAE26" w:rsidR="00495C7E" w:rsidRDefault="00495C7E" w:rsidP="00495C7E">
      <w:pPr>
        <w:rPr>
          <w:b/>
          <w:i/>
          <w:color w:val="0070C0"/>
        </w:rPr>
      </w:pPr>
      <w:r>
        <w:rPr>
          <w:b/>
          <w:i/>
          <w:color w:val="0070C0"/>
        </w:rPr>
        <w:t>Veuillez adapter le tableau ci-dessus en fonction des critères mentionnés dans le dossier d’appel d’offres (c’est-à-dire insérer des lignes supplémentaires pour chaque critère ou supprimer les lignes inutiles).</w:t>
      </w: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lastRenderedPageBreak/>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w:t>
            </w:r>
            <w:proofErr w:type="gramStart"/>
            <w:r>
              <w:t>si</w:t>
            </w:r>
            <w:proofErr w:type="gramEnd"/>
            <w:r>
              <w:t xml:space="preserve">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proofErr w:type="gramStart"/>
            <w:r>
              <w:t>que</w:t>
            </w:r>
            <w:proofErr w:type="gramEnd"/>
            <w:r>
              <w:t xml:space="preserv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proofErr w:type="gramStart"/>
            <w:r>
              <w:t>qu’elle</w:t>
            </w:r>
            <w:proofErr w:type="gramEnd"/>
            <w:r>
              <w:t xml:space="preserv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41B002CF" w14:textId="5D9964FA" w:rsidR="00BA5A07" w:rsidRDefault="00BA5A07" w:rsidP="00CB21DB">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BBB0065" w14:textId="03E2C099" w:rsidR="00CB21DB" w:rsidRDefault="00CB21DB" w:rsidP="00CB21DB">
      <w:pPr>
        <w:spacing w:before="100" w:beforeAutospacing="1" w:after="100" w:afterAutospacing="1"/>
        <w:jc w:val="both"/>
      </w:pPr>
      <w: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14:paraId="700AF2F0" w14:textId="77777777" w:rsidR="00CB21DB" w:rsidRDefault="00CB21DB" w:rsidP="00CB21DB">
      <w:pPr>
        <w:spacing w:before="100" w:beforeAutospacing="1" w:after="100" w:afterAutospacing="1"/>
        <w:jc w:val="both"/>
      </w:pPr>
      <w:r>
        <w:t xml:space="preserve">Le signataire déclare que la personne a déjà fourni les preuves documentaires aux fins d’une précédente procédure et confirme qu’aucun changement n’est intervenu dans sa </w:t>
      </w:r>
      <w:proofErr w:type="gramStart"/>
      <w:r>
        <w:t>situation:</w:t>
      </w:r>
      <w:proofErr w:type="gramEnd"/>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Pr>
                <w:b/>
                <w:sz w:val="22"/>
              </w:rPr>
              <w:t>Référence complète de la précédente procédure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Pr>
                <w:i/>
                <w:highlight w:val="lightGray"/>
              </w:rPr>
              <w:t>Insérer autant de lignes que nécessaire.</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 xml:space="preserve">La personne qui, en tant que soumissionnaire unique/chef de file en cas de consortium, soumet une demande de participation/une offre dans le cadre de la procédure susmentionnée, déclare </w:t>
      </w:r>
      <w:proofErr w:type="gramStart"/>
      <w:r>
        <w:rPr>
          <w:lang w:val="fr-BE"/>
        </w:rPr>
        <w:t>que:</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proofErr w:type="gramStart"/>
            <w:r>
              <w:rPr>
                <w:lang w:val="fr-BE"/>
              </w:rPr>
              <w:t>le</w:t>
            </w:r>
            <w:proofErr w:type="gramEnd"/>
            <w:r>
              <w:rPr>
                <w:lang w:val="fr-BE"/>
              </w:rPr>
              <w:t xml:space="preserv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proofErr w:type="gramStart"/>
            <w:r>
              <w:rPr>
                <w:lang w:val="fr-BE"/>
              </w:rPr>
              <w:t>n’est</w:t>
            </w:r>
            <w:proofErr w:type="gramEnd"/>
            <w:r>
              <w:rPr>
                <w:lang w:val="fr-BE"/>
              </w:rPr>
              <w:t xml:space="preserve">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941D" w14:textId="77777777" w:rsidR="00296B35" w:rsidRDefault="00296B35" w:rsidP="0050790F">
      <w:r>
        <w:separator/>
      </w:r>
    </w:p>
  </w:endnote>
  <w:endnote w:type="continuationSeparator" w:id="0">
    <w:p w14:paraId="7559893C" w14:textId="77777777" w:rsidR="00296B35" w:rsidRDefault="00296B35"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4BB" w14:textId="77777777" w:rsidR="005D262A" w:rsidRDefault="005D26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14:paraId="3ABD40A1" w14:textId="5C9A27EA" w:rsidR="005D262A" w:rsidRDefault="005D262A">
        <w:pPr>
          <w:pStyle w:val="Pieddepage"/>
          <w:jc w:val="right"/>
        </w:pPr>
        <w:r>
          <w:fldChar w:fldCharType="begin"/>
        </w:r>
        <w:r>
          <w:instrText xml:space="preserve"> PAGE   \* MERGEFORMAT </w:instrText>
        </w:r>
        <w:r>
          <w:fldChar w:fldCharType="separate"/>
        </w:r>
        <w:r w:rsidR="00260244">
          <w:rPr>
            <w:noProof/>
          </w:rPr>
          <w:t>8</w:t>
        </w:r>
        <w:r>
          <w:fldChar w:fldCharType="end"/>
        </w:r>
      </w:p>
    </w:sdtContent>
  </w:sdt>
  <w:p w14:paraId="09653982" w14:textId="133AA2DA" w:rsidR="005D262A" w:rsidRDefault="008475CD">
    <w:pPr>
      <w:pStyle w:val="Pieddepage"/>
    </w:pPr>
    <w:r>
      <w:t>2021.1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7838" w14:textId="77777777" w:rsidR="005D262A" w:rsidRDefault="005D26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FD8B" w14:textId="77777777" w:rsidR="00296B35" w:rsidRDefault="00296B35" w:rsidP="0050790F">
      <w:r>
        <w:separator/>
      </w:r>
    </w:p>
  </w:footnote>
  <w:footnote w:type="continuationSeparator" w:id="0">
    <w:p w14:paraId="284017AD" w14:textId="77777777" w:rsidR="00296B35" w:rsidRDefault="00296B35"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r>
        <w:rPr>
          <w:lang w:val="fr-BE"/>
        </w:rPr>
        <w:t>l’opérateur économique tant que les conditions de l’article 141, paragraphe 1, point a), du RF ne sont pas</w:t>
      </w:r>
    </w:p>
    <w:p w14:paraId="735F7067" w14:textId="57FD024F" w:rsidR="005D262A" w:rsidRDefault="005D262A">
      <w:pPr>
        <w:pStyle w:val="Notedebasdepage"/>
      </w:pPr>
      <w:r>
        <w:rPr>
          <w:lang w:val="fr-BE"/>
        </w:rPr>
        <w:t>remplies.</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r>
        <w:rPr>
          <w:i/>
          <w:iCs/>
          <w:sz w:val="18"/>
          <w:szCs w:val="18"/>
          <w:highlight w:val="lightGray"/>
        </w:rPr>
        <w:t>signature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772F" w14:textId="77777777" w:rsidR="005D262A" w:rsidRDefault="005D2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BD25" w14:textId="35DD305A" w:rsidR="005D262A" w:rsidRPr="008475CD" w:rsidRDefault="005D262A" w:rsidP="008475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D007" w14:textId="77777777" w:rsidR="005D262A" w:rsidRDefault="005D26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16cid:durableId="982926136">
    <w:abstractNumId w:val="1"/>
  </w:num>
  <w:num w:numId="2" w16cid:durableId="1963919114">
    <w:abstractNumId w:val="3"/>
  </w:num>
  <w:num w:numId="3" w16cid:durableId="1251428380">
    <w:abstractNumId w:val="0"/>
  </w:num>
  <w:num w:numId="4" w16cid:durableId="229777020">
    <w:abstractNumId w:val="9"/>
  </w:num>
  <w:num w:numId="5" w16cid:durableId="843740642">
    <w:abstractNumId w:val="2"/>
  </w:num>
  <w:num w:numId="6" w16cid:durableId="819276082">
    <w:abstractNumId w:val="4"/>
  </w:num>
  <w:num w:numId="7" w16cid:durableId="873150430">
    <w:abstractNumId w:val="7"/>
  </w:num>
  <w:num w:numId="8" w16cid:durableId="2127852043">
    <w:abstractNumId w:val="6"/>
  </w:num>
  <w:num w:numId="9" w16cid:durableId="665716213">
    <w:abstractNumId w:val="8"/>
  </w:num>
  <w:num w:numId="10" w16cid:durableId="1885211058">
    <w:abstractNumId w:val="12"/>
  </w:num>
  <w:num w:numId="11" w16cid:durableId="591016770">
    <w:abstractNumId w:val="10"/>
  </w:num>
  <w:num w:numId="12" w16cid:durableId="327943595">
    <w:abstractNumId w:val="11"/>
  </w:num>
  <w:num w:numId="13" w16cid:durableId="23674287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67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584555">
    <w:abstractNumId w:val="13"/>
  </w:num>
  <w:num w:numId="16" w16cid:durableId="1007484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21AE1"/>
    <w:rsid w:val="00030EA4"/>
    <w:rsid w:val="00050709"/>
    <w:rsid w:val="00053A51"/>
    <w:rsid w:val="00056491"/>
    <w:rsid w:val="00081C6B"/>
    <w:rsid w:val="00087498"/>
    <w:rsid w:val="000A4AD7"/>
    <w:rsid w:val="000B0E07"/>
    <w:rsid w:val="00107F3D"/>
    <w:rsid w:val="001A0725"/>
    <w:rsid w:val="001A2765"/>
    <w:rsid w:val="001D086D"/>
    <w:rsid w:val="00217215"/>
    <w:rsid w:val="002362DF"/>
    <w:rsid w:val="00245B1A"/>
    <w:rsid w:val="002545AA"/>
    <w:rsid w:val="00260244"/>
    <w:rsid w:val="002809D4"/>
    <w:rsid w:val="0028102F"/>
    <w:rsid w:val="00283F3F"/>
    <w:rsid w:val="00296B35"/>
    <w:rsid w:val="00315A0E"/>
    <w:rsid w:val="00391019"/>
    <w:rsid w:val="00395A56"/>
    <w:rsid w:val="003B4F4F"/>
    <w:rsid w:val="00471225"/>
    <w:rsid w:val="00491229"/>
    <w:rsid w:val="00492D83"/>
    <w:rsid w:val="0049568C"/>
    <w:rsid w:val="00495C7E"/>
    <w:rsid w:val="004E3C57"/>
    <w:rsid w:val="004F6658"/>
    <w:rsid w:val="0050790F"/>
    <w:rsid w:val="0051289B"/>
    <w:rsid w:val="005229BB"/>
    <w:rsid w:val="005436FF"/>
    <w:rsid w:val="005531DD"/>
    <w:rsid w:val="0057056F"/>
    <w:rsid w:val="00587A30"/>
    <w:rsid w:val="005A3614"/>
    <w:rsid w:val="005A5F22"/>
    <w:rsid w:val="005A6900"/>
    <w:rsid w:val="005B3BE2"/>
    <w:rsid w:val="005D0FE1"/>
    <w:rsid w:val="005D262A"/>
    <w:rsid w:val="00625804"/>
    <w:rsid w:val="006A44D2"/>
    <w:rsid w:val="00734E64"/>
    <w:rsid w:val="00753D50"/>
    <w:rsid w:val="0078019C"/>
    <w:rsid w:val="00780D63"/>
    <w:rsid w:val="007C4AD9"/>
    <w:rsid w:val="007D6898"/>
    <w:rsid w:val="007F00C1"/>
    <w:rsid w:val="007F3B8E"/>
    <w:rsid w:val="00842070"/>
    <w:rsid w:val="008475CD"/>
    <w:rsid w:val="008A4DF2"/>
    <w:rsid w:val="008C4B07"/>
    <w:rsid w:val="008F344D"/>
    <w:rsid w:val="00941A09"/>
    <w:rsid w:val="00982B24"/>
    <w:rsid w:val="00986E1D"/>
    <w:rsid w:val="00A135DB"/>
    <w:rsid w:val="00A51C7F"/>
    <w:rsid w:val="00A75131"/>
    <w:rsid w:val="00A83806"/>
    <w:rsid w:val="00AA7378"/>
    <w:rsid w:val="00AD3561"/>
    <w:rsid w:val="00AE2B52"/>
    <w:rsid w:val="00AF1BDE"/>
    <w:rsid w:val="00B26872"/>
    <w:rsid w:val="00B675A8"/>
    <w:rsid w:val="00BA5A07"/>
    <w:rsid w:val="00BA5DEA"/>
    <w:rsid w:val="00BB1574"/>
    <w:rsid w:val="00BC38E3"/>
    <w:rsid w:val="00BD3B05"/>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717C5678-901A-46BB-8655-50658E1EFC0C}">
  <ds:schemaRefs>
    <ds:schemaRef ds:uri="http://schemas.openxmlformats.org/officeDocument/2006/bibliography"/>
  </ds:schemaRefs>
</ds:datastoreItem>
</file>

<file path=customXml/itemProps3.xml><?xml version="1.0" encoding="utf-8"?>
<ds:datastoreItem xmlns:ds="http://schemas.openxmlformats.org/officeDocument/2006/customXml" ds:itemID="{4BE7CD42-C2F0-4A9A-B581-0688FD411A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3230</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Vola Narindra</cp:lastModifiedBy>
  <cp:revision>13</cp:revision>
  <dcterms:created xsi:type="dcterms:W3CDTF">2021-11-30T15:01:00Z</dcterms:created>
  <dcterms:modified xsi:type="dcterms:W3CDTF">2023-02-21T12:14:00Z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