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DBBE2" w14:textId="77777777" w:rsidR="001050EE" w:rsidRPr="006015D0" w:rsidRDefault="001050EE" w:rsidP="0042293E">
      <w:pPr>
        <w:spacing w:after="120"/>
        <w:jc w:val="center"/>
        <w:rPr>
          <w:b/>
          <w:sz w:val="28"/>
          <w:szCs w:val="28"/>
        </w:rPr>
      </w:pPr>
      <w:r>
        <w:rPr>
          <w:b/>
          <w:sz w:val="28"/>
          <w:szCs w:val="28"/>
        </w:rPr>
        <w:t>VOLUME 2</w:t>
      </w:r>
    </w:p>
    <w:p w14:paraId="771DA032" w14:textId="77777777" w:rsidR="00C4392E" w:rsidRPr="006015D0" w:rsidRDefault="001050EE" w:rsidP="0042293E">
      <w:pPr>
        <w:spacing w:after="120"/>
        <w:jc w:val="center"/>
        <w:rPr>
          <w:b/>
          <w:sz w:val="28"/>
          <w:szCs w:val="28"/>
        </w:rPr>
      </w:pPr>
      <w:r>
        <w:rPr>
          <w:b/>
          <w:sz w:val="28"/>
          <w:szCs w:val="28"/>
        </w:rPr>
        <w:t>SECTION 3</w:t>
      </w:r>
    </w:p>
    <w:p w14:paraId="23F499FF" w14:textId="77777777" w:rsidR="00C62D6B" w:rsidRDefault="00C62D6B" w:rsidP="0042293E">
      <w:pPr>
        <w:spacing w:after="120"/>
        <w:jc w:val="center"/>
        <w:rPr>
          <w:b/>
          <w:sz w:val="28"/>
          <w:szCs w:val="28"/>
        </w:rPr>
      </w:pPr>
    </w:p>
    <w:p w14:paraId="469788DD" w14:textId="2759328A" w:rsidR="009974FB" w:rsidRDefault="001050EE" w:rsidP="0042293E">
      <w:pPr>
        <w:spacing w:after="120"/>
        <w:jc w:val="center"/>
        <w:rPr>
          <w:b/>
          <w:sz w:val="28"/>
          <w:szCs w:val="28"/>
        </w:rPr>
      </w:pPr>
      <w:r>
        <w:rPr>
          <w:b/>
          <w:sz w:val="28"/>
          <w:szCs w:val="28"/>
        </w:rPr>
        <w:t>CONDITIONS PARTICULIÈRES</w:t>
      </w:r>
    </w:p>
    <w:p w14:paraId="3064D557" w14:textId="77777777" w:rsidR="00C62D6B" w:rsidRPr="006015D0" w:rsidRDefault="00C62D6B" w:rsidP="0042293E">
      <w:pPr>
        <w:spacing w:after="120"/>
        <w:jc w:val="center"/>
        <w:rPr>
          <w:b/>
          <w:sz w:val="28"/>
          <w:szCs w:val="28"/>
        </w:rPr>
      </w:pPr>
    </w:p>
    <w:p w14:paraId="3E6A52F0" w14:textId="77777777" w:rsidR="00340C6C" w:rsidRPr="006015D0" w:rsidRDefault="001050EE" w:rsidP="00B67B8E">
      <w:pPr>
        <w:spacing w:after="120"/>
        <w:jc w:val="center"/>
        <w:outlineLvl w:val="0"/>
        <w:rPr>
          <w:szCs w:val="24"/>
        </w:rPr>
      </w:pPr>
      <w:r>
        <w:rPr>
          <w:b/>
          <w:bCs/>
          <w:sz w:val="28"/>
          <w:szCs w:val="28"/>
        </w:rPr>
        <w:t>TABLE DES MATIÈRES</w:t>
      </w:r>
    </w:p>
    <w:p w14:paraId="0FFC9410" w14:textId="77777777" w:rsidR="001050EE" w:rsidRPr="006015D0" w:rsidRDefault="001050EE" w:rsidP="0042293E">
      <w:pPr>
        <w:spacing w:after="120"/>
        <w:jc w:val="both"/>
        <w:outlineLvl w:val="0"/>
        <w:rPr>
          <w:sz w:val="22"/>
          <w:szCs w:val="22"/>
        </w:rPr>
      </w:pPr>
      <w:r>
        <w:rPr>
          <w:sz w:val="22"/>
          <w:szCs w:val="22"/>
        </w:rPr>
        <w:t xml:space="preserve">Les présentes conditions particulières précisent et complètent les conditions générales applicables au marché.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Les autres conditions particulières doivent être indiquées ensuite. </w:t>
      </w:r>
    </w:p>
    <w:p w14:paraId="04AC5031" w14:textId="77777777" w:rsidR="001466DD" w:rsidRPr="006015D0" w:rsidRDefault="001466DD" w:rsidP="0042293E">
      <w:pPr>
        <w:spacing w:after="120"/>
        <w:jc w:val="both"/>
        <w:rPr>
          <w:b/>
          <w:sz w:val="22"/>
          <w:szCs w:val="22"/>
        </w:rPr>
      </w:pPr>
    </w:p>
    <w:p w14:paraId="618D0DA3" w14:textId="77777777" w:rsidR="001050EE" w:rsidRPr="006015D0" w:rsidRDefault="003D764D" w:rsidP="0042293E">
      <w:pPr>
        <w:spacing w:after="120"/>
        <w:ind w:left="1134" w:hanging="1134"/>
        <w:jc w:val="both"/>
        <w:rPr>
          <w:b/>
          <w:szCs w:val="24"/>
        </w:rPr>
      </w:pPr>
      <w:r>
        <w:rPr>
          <w:b/>
          <w:szCs w:val="24"/>
        </w:rPr>
        <w:t>Article 2</w:t>
      </w:r>
      <w:r>
        <w:tab/>
      </w:r>
      <w:r>
        <w:rPr>
          <w:b/>
          <w:szCs w:val="24"/>
        </w:rPr>
        <w:t>Langue du marché</w:t>
      </w:r>
    </w:p>
    <w:p w14:paraId="7B511C00" w14:textId="77777777" w:rsidR="001050EE" w:rsidRPr="006015D0" w:rsidRDefault="001050EE" w:rsidP="0042293E">
      <w:pPr>
        <w:spacing w:after="120"/>
        <w:ind w:left="1134" w:hanging="567"/>
        <w:rPr>
          <w:sz w:val="22"/>
          <w:szCs w:val="22"/>
        </w:rPr>
      </w:pPr>
      <w:r>
        <w:rPr>
          <w:bCs/>
          <w:sz w:val="22"/>
          <w:szCs w:val="22"/>
        </w:rPr>
        <w:t>2.1</w:t>
      </w:r>
      <w:r>
        <w:tab/>
      </w:r>
      <w:r>
        <w:rPr>
          <w:sz w:val="22"/>
          <w:szCs w:val="22"/>
        </w:rPr>
        <w:t>La langue utilisée est le français.</w:t>
      </w:r>
      <w:r>
        <w:rPr>
          <w:sz w:val="22"/>
          <w:szCs w:val="22"/>
          <w:shd w:val="solid" w:color="C0C0C0" w:fill="FFFFFF"/>
        </w:rPr>
        <w:t xml:space="preserve"> </w:t>
      </w:r>
    </w:p>
    <w:p w14:paraId="71AC1A84" w14:textId="77777777" w:rsidR="001050EE" w:rsidRPr="006015D0" w:rsidRDefault="001050EE" w:rsidP="0042293E">
      <w:pPr>
        <w:spacing w:after="120"/>
        <w:ind w:left="1134" w:hanging="1134"/>
        <w:jc w:val="both"/>
        <w:rPr>
          <w:b/>
          <w:szCs w:val="24"/>
        </w:rPr>
      </w:pPr>
      <w:r>
        <w:rPr>
          <w:b/>
          <w:szCs w:val="24"/>
        </w:rPr>
        <w:t>Article 4</w:t>
      </w:r>
      <w:r>
        <w:tab/>
      </w:r>
      <w:r>
        <w:rPr>
          <w:b/>
          <w:szCs w:val="24"/>
        </w:rPr>
        <w:t>Communications</w:t>
      </w:r>
    </w:p>
    <w:p w14:paraId="18305EC2" w14:textId="77777777" w:rsidR="0031275D" w:rsidRPr="007927D6" w:rsidRDefault="0031275D" w:rsidP="00807B1A">
      <w:pPr>
        <w:spacing w:before="120" w:after="120"/>
        <w:ind w:left="1134"/>
        <w:rPr>
          <w:sz w:val="22"/>
          <w:szCs w:val="22"/>
          <w:lang w:val="fr-BE"/>
        </w:rPr>
      </w:pPr>
      <w:r w:rsidRPr="007927D6">
        <w:rPr>
          <w:sz w:val="22"/>
          <w:szCs w:val="22"/>
          <w:lang w:val="fr-BE"/>
        </w:rPr>
        <w:t xml:space="preserve">Toute communication écrite relative au présent contrat, entre </w:t>
      </w:r>
      <w:r w:rsidRPr="007927D6">
        <w:rPr>
          <w:sz w:val="22"/>
          <w:szCs w:val="22"/>
        </w:rPr>
        <w:t xml:space="preserve">le </w:t>
      </w:r>
      <w:r w:rsidRPr="002977E4">
        <w:rPr>
          <w:sz w:val="22"/>
          <w:szCs w:val="22"/>
        </w:rPr>
        <w:t>Maître d'ouvrage</w:t>
      </w:r>
      <w:r w:rsidRPr="007927D6">
        <w:rPr>
          <w:sz w:val="22"/>
          <w:szCs w:val="22"/>
          <w:lang w:val="fr-BE"/>
        </w:rPr>
        <w:t>, d'une part</w:t>
      </w:r>
      <w:r>
        <w:rPr>
          <w:sz w:val="22"/>
          <w:szCs w:val="22"/>
          <w:lang w:val="fr-BE"/>
        </w:rPr>
        <w:t>,</w:t>
      </w:r>
      <w:r w:rsidRPr="007927D6">
        <w:rPr>
          <w:sz w:val="22"/>
          <w:szCs w:val="22"/>
          <w:lang w:val="fr-BE"/>
        </w:rPr>
        <w:t xml:space="preserve"> et le </w:t>
      </w:r>
      <w:r>
        <w:rPr>
          <w:sz w:val="22"/>
        </w:rPr>
        <w:t>contractant</w:t>
      </w:r>
      <w:r>
        <w:rPr>
          <w:sz w:val="22"/>
          <w:szCs w:val="22"/>
          <w:lang w:val="fr-BE"/>
        </w:rPr>
        <w:t>,</w:t>
      </w:r>
      <w:r w:rsidRPr="007927D6">
        <w:rPr>
          <w:sz w:val="22"/>
          <w:szCs w:val="22"/>
          <w:lang w:val="fr-BE"/>
        </w:rPr>
        <w:t xml:space="preserve"> d'autre part, doit indiquer l'intitulé du contrat et son numéro d'identification et doit être adressée par courriel postal, fax, courriel électronique ou par porteur</w:t>
      </w:r>
      <w:r w:rsidRPr="006037DF">
        <w:rPr>
          <w:sz w:val="22"/>
          <w:szCs w:val="22"/>
        </w:rPr>
        <w:t xml:space="preserve"> </w:t>
      </w:r>
      <w:r w:rsidRPr="0075710C">
        <w:rPr>
          <w:sz w:val="22"/>
          <w:szCs w:val="22"/>
        </w:rPr>
        <w:t xml:space="preserve">aux </w:t>
      </w:r>
      <w:r w:rsidRPr="0075710C">
        <w:rPr>
          <w:spacing w:val="-2"/>
          <w:sz w:val="22"/>
          <w:szCs w:val="22"/>
        </w:rPr>
        <w:t>a</w:t>
      </w:r>
      <w:r w:rsidRPr="0075710C">
        <w:rPr>
          <w:sz w:val="22"/>
          <w:szCs w:val="22"/>
        </w:rPr>
        <w:t>d</w:t>
      </w:r>
      <w:r w:rsidRPr="0075710C">
        <w:rPr>
          <w:spacing w:val="1"/>
          <w:sz w:val="22"/>
          <w:szCs w:val="22"/>
        </w:rPr>
        <w:t>r</w:t>
      </w:r>
      <w:r w:rsidRPr="0075710C">
        <w:rPr>
          <w:spacing w:val="-2"/>
          <w:sz w:val="22"/>
          <w:szCs w:val="22"/>
        </w:rPr>
        <w:t>e</w:t>
      </w:r>
      <w:r w:rsidRPr="0075710C">
        <w:rPr>
          <w:sz w:val="22"/>
          <w:szCs w:val="22"/>
        </w:rPr>
        <w:t>s</w:t>
      </w:r>
      <w:r w:rsidRPr="0075710C">
        <w:rPr>
          <w:spacing w:val="1"/>
          <w:sz w:val="22"/>
          <w:szCs w:val="22"/>
        </w:rPr>
        <w:t>s</w:t>
      </w:r>
      <w:r w:rsidRPr="0075710C">
        <w:rPr>
          <w:spacing w:val="-2"/>
          <w:sz w:val="22"/>
          <w:szCs w:val="22"/>
        </w:rPr>
        <w:t>e</w:t>
      </w:r>
      <w:r w:rsidRPr="0075710C">
        <w:rPr>
          <w:sz w:val="22"/>
          <w:szCs w:val="22"/>
        </w:rPr>
        <w:t xml:space="preserve">s </w:t>
      </w:r>
      <w:r w:rsidRPr="0075710C">
        <w:rPr>
          <w:spacing w:val="1"/>
          <w:sz w:val="22"/>
          <w:szCs w:val="22"/>
        </w:rPr>
        <w:t>s</w:t>
      </w:r>
      <w:r w:rsidRPr="0075710C">
        <w:rPr>
          <w:spacing w:val="-2"/>
          <w:sz w:val="22"/>
          <w:szCs w:val="22"/>
        </w:rPr>
        <w:t>u</w:t>
      </w:r>
      <w:r w:rsidRPr="0075710C">
        <w:rPr>
          <w:spacing w:val="1"/>
          <w:sz w:val="22"/>
          <w:szCs w:val="22"/>
        </w:rPr>
        <w:t>i</w:t>
      </w:r>
      <w:r w:rsidRPr="0075710C">
        <w:rPr>
          <w:spacing w:val="-2"/>
          <w:sz w:val="22"/>
          <w:szCs w:val="22"/>
        </w:rPr>
        <w:t>v</w:t>
      </w:r>
      <w:r w:rsidRPr="0075710C">
        <w:rPr>
          <w:sz w:val="22"/>
          <w:szCs w:val="22"/>
        </w:rPr>
        <w:t>an</w:t>
      </w:r>
      <w:r w:rsidRPr="0075710C">
        <w:rPr>
          <w:spacing w:val="1"/>
          <w:sz w:val="22"/>
          <w:szCs w:val="22"/>
        </w:rPr>
        <w:t>t</w:t>
      </w:r>
      <w:r w:rsidRPr="0075710C">
        <w:rPr>
          <w:sz w:val="22"/>
          <w:szCs w:val="22"/>
        </w:rPr>
        <w:t>es</w:t>
      </w:r>
      <w:r>
        <w:rPr>
          <w:sz w:val="22"/>
          <w:szCs w:val="22"/>
        </w:rPr>
        <w:t xml:space="preserve"> </w:t>
      </w:r>
      <w:r w:rsidRPr="0075710C">
        <w:rPr>
          <w:b/>
          <w:sz w:val="22"/>
          <w:szCs w:val="22"/>
        </w:rPr>
        <w:t>:</w:t>
      </w:r>
    </w:p>
    <w:p w14:paraId="12AFF552" w14:textId="77777777" w:rsidR="0031275D" w:rsidRPr="00386D32" w:rsidRDefault="0031275D" w:rsidP="0031275D">
      <w:pPr>
        <w:pStyle w:val="ListParagraph"/>
        <w:numPr>
          <w:ilvl w:val="0"/>
          <w:numId w:val="31"/>
        </w:numPr>
        <w:spacing w:before="100" w:after="100"/>
        <w:jc w:val="both"/>
        <w:rPr>
          <w:rFonts w:ascii="Times New Roman" w:hAnsi="Times New Roman"/>
          <w:b/>
          <w:lang w:val="fr-BE"/>
        </w:rPr>
      </w:pPr>
      <w:r w:rsidRPr="00386D32">
        <w:rPr>
          <w:rFonts w:ascii="Times New Roman" w:hAnsi="Times New Roman"/>
          <w:b/>
          <w:lang w:val="fr-BE"/>
        </w:rPr>
        <w:t xml:space="preserve">Pour le </w:t>
      </w:r>
      <w:r w:rsidRPr="00386D32">
        <w:rPr>
          <w:rFonts w:ascii="Times New Roman" w:hAnsi="Times New Roman"/>
          <w:b/>
        </w:rPr>
        <w:t>Maître d'ouvrage :</w:t>
      </w:r>
    </w:p>
    <w:p w14:paraId="03631127" w14:textId="77777777" w:rsidR="0031275D" w:rsidRPr="00386D32" w:rsidRDefault="0031275D" w:rsidP="0031275D">
      <w:pPr>
        <w:spacing w:line="300" w:lineRule="exact"/>
        <w:ind w:left="2268"/>
        <w:rPr>
          <w:sz w:val="22"/>
          <w:szCs w:val="22"/>
        </w:rPr>
      </w:pPr>
      <w:r w:rsidRPr="00386D32">
        <w:rPr>
          <w:sz w:val="22"/>
          <w:szCs w:val="22"/>
        </w:rPr>
        <w:t>Monsieur le Directeur du Bureau d’Appui à la Coopération Extérieure (BACE)</w:t>
      </w:r>
    </w:p>
    <w:p w14:paraId="0A95A7CA" w14:textId="77777777" w:rsidR="0031275D" w:rsidRPr="00386D32" w:rsidRDefault="0031275D" w:rsidP="0031275D">
      <w:pPr>
        <w:spacing w:line="300" w:lineRule="exact"/>
        <w:ind w:left="2268"/>
        <w:rPr>
          <w:sz w:val="22"/>
          <w:szCs w:val="22"/>
        </w:rPr>
      </w:pPr>
      <w:r w:rsidRPr="00386D32">
        <w:rPr>
          <w:sz w:val="22"/>
          <w:szCs w:val="22"/>
        </w:rPr>
        <w:t>Villa Lola Antsahavola – Près lot 18 bis – Rue Rainitovo</w:t>
      </w:r>
    </w:p>
    <w:p w14:paraId="2A52A0B7" w14:textId="77777777" w:rsidR="0031275D" w:rsidRPr="00386D32" w:rsidRDefault="0031275D" w:rsidP="0031275D">
      <w:pPr>
        <w:spacing w:line="300" w:lineRule="exact"/>
        <w:ind w:left="2268"/>
        <w:rPr>
          <w:sz w:val="22"/>
          <w:szCs w:val="22"/>
        </w:rPr>
      </w:pPr>
      <w:r w:rsidRPr="00386D32">
        <w:rPr>
          <w:sz w:val="22"/>
          <w:szCs w:val="22"/>
        </w:rPr>
        <w:t>101 Antananarivo – MADAGASCAR</w:t>
      </w:r>
    </w:p>
    <w:p w14:paraId="3EEC4607" w14:textId="77777777" w:rsidR="0031275D" w:rsidRPr="00386D32" w:rsidRDefault="0031275D" w:rsidP="0031275D">
      <w:pPr>
        <w:spacing w:line="300" w:lineRule="exact"/>
        <w:ind w:left="2268"/>
        <w:rPr>
          <w:sz w:val="22"/>
          <w:szCs w:val="22"/>
        </w:rPr>
      </w:pPr>
      <w:r w:rsidRPr="00386D32">
        <w:rPr>
          <w:sz w:val="22"/>
          <w:szCs w:val="22"/>
        </w:rPr>
        <w:t xml:space="preserve">Courrier électronique : </w:t>
      </w:r>
      <w:hyperlink r:id="rId11" w:history="1">
        <w:r w:rsidRPr="00386D32">
          <w:rPr>
            <w:rStyle w:val="Hyperlink"/>
            <w:sz w:val="22"/>
            <w:szCs w:val="22"/>
          </w:rPr>
          <w:t>afafinord_marches_dpc@yahoo.com</w:t>
        </w:r>
      </w:hyperlink>
    </w:p>
    <w:p w14:paraId="09474134" w14:textId="77777777" w:rsidR="0031275D" w:rsidRPr="006037DF" w:rsidRDefault="0031275D" w:rsidP="0031275D">
      <w:pPr>
        <w:spacing w:line="300" w:lineRule="exact"/>
        <w:ind w:left="992"/>
        <w:jc w:val="center"/>
        <w:rPr>
          <w:b/>
          <w:sz w:val="22"/>
          <w:szCs w:val="22"/>
        </w:rPr>
      </w:pPr>
    </w:p>
    <w:p w14:paraId="0D9D2662" w14:textId="77777777" w:rsidR="0031275D" w:rsidRPr="005613DC" w:rsidRDefault="0031275D" w:rsidP="0031275D">
      <w:pPr>
        <w:pStyle w:val="ListParagraph"/>
        <w:numPr>
          <w:ilvl w:val="0"/>
          <w:numId w:val="31"/>
        </w:numPr>
        <w:spacing w:before="100" w:after="100"/>
        <w:jc w:val="both"/>
        <w:rPr>
          <w:rFonts w:ascii="Times New Roman" w:hAnsi="Times New Roman"/>
          <w:b/>
          <w:bCs/>
          <w:lang w:val="fr-BE"/>
        </w:rPr>
      </w:pPr>
      <w:r w:rsidRPr="005613DC">
        <w:rPr>
          <w:rFonts w:ascii="Times New Roman" w:hAnsi="Times New Roman"/>
          <w:b/>
          <w:bCs/>
          <w:lang w:val="fr-BE"/>
        </w:rPr>
        <w:t>Pour la Délégation de l’Union européenne :</w:t>
      </w:r>
    </w:p>
    <w:p w14:paraId="60D643CF" w14:textId="77777777" w:rsidR="0031275D" w:rsidRPr="005613DC" w:rsidRDefault="0031275D" w:rsidP="0031275D">
      <w:pPr>
        <w:spacing w:line="300" w:lineRule="exact"/>
        <w:ind w:left="2268"/>
        <w:rPr>
          <w:bCs/>
          <w:sz w:val="22"/>
          <w:szCs w:val="22"/>
        </w:rPr>
      </w:pPr>
      <w:r w:rsidRPr="005613DC">
        <w:rPr>
          <w:bCs/>
          <w:sz w:val="22"/>
          <w:szCs w:val="22"/>
        </w:rPr>
        <w:t>Monsieur le Chef de Coopération</w:t>
      </w:r>
    </w:p>
    <w:p w14:paraId="16F43D9C" w14:textId="77777777" w:rsidR="0031275D" w:rsidRPr="005613DC" w:rsidRDefault="0031275D" w:rsidP="0031275D">
      <w:pPr>
        <w:spacing w:line="300" w:lineRule="exact"/>
        <w:ind w:left="2268"/>
        <w:rPr>
          <w:bCs/>
          <w:sz w:val="22"/>
          <w:szCs w:val="22"/>
        </w:rPr>
      </w:pPr>
      <w:r w:rsidRPr="005613DC">
        <w:rPr>
          <w:bCs/>
          <w:sz w:val="22"/>
          <w:szCs w:val="22"/>
        </w:rPr>
        <w:t>Délégation de l’Union Européenne à Madagascar</w:t>
      </w:r>
    </w:p>
    <w:p w14:paraId="32EC423E" w14:textId="77777777" w:rsidR="0031275D" w:rsidRPr="005613DC" w:rsidRDefault="0031275D" w:rsidP="0031275D">
      <w:pPr>
        <w:spacing w:line="300" w:lineRule="exact"/>
        <w:ind w:left="2268"/>
        <w:rPr>
          <w:bCs/>
          <w:sz w:val="22"/>
          <w:szCs w:val="22"/>
        </w:rPr>
      </w:pPr>
      <w:r w:rsidRPr="005613DC">
        <w:rPr>
          <w:bCs/>
          <w:sz w:val="22"/>
          <w:szCs w:val="22"/>
        </w:rPr>
        <w:t xml:space="preserve">Tour </w:t>
      </w:r>
      <w:proofErr w:type="spellStart"/>
      <w:r w:rsidRPr="005613DC">
        <w:rPr>
          <w:bCs/>
          <w:sz w:val="22"/>
          <w:szCs w:val="22"/>
        </w:rPr>
        <w:t>Zital</w:t>
      </w:r>
      <w:proofErr w:type="spellEnd"/>
      <w:r w:rsidRPr="005613DC">
        <w:rPr>
          <w:bCs/>
          <w:sz w:val="22"/>
          <w:szCs w:val="22"/>
        </w:rPr>
        <w:t xml:space="preserve"> – 9</w:t>
      </w:r>
      <w:r w:rsidRPr="00663204">
        <w:rPr>
          <w:bCs/>
          <w:sz w:val="22"/>
          <w:szCs w:val="22"/>
        </w:rPr>
        <w:t>ème</w:t>
      </w:r>
      <w:r w:rsidRPr="005613DC">
        <w:rPr>
          <w:bCs/>
          <w:sz w:val="22"/>
          <w:szCs w:val="22"/>
        </w:rPr>
        <w:t xml:space="preserve"> étage – </w:t>
      </w:r>
      <w:proofErr w:type="spellStart"/>
      <w:r w:rsidRPr="005613DC">
        <w:rPr>
          <w:bCs/>
          <w:sz w:val="22"/>
          <w:szCs w:val="22"/>
        </w:rPr>
        <w:t>Ankorondrano</w:t>
      </w:r>
      <w:proofErr w:type="spellEnd"/>
      <w:r w:rsidRPr="005613DC">
        <w:rPr>
          <w:bCs/>
          <w:sz w:val="22"/>
          <w:szCs w:val="22"/>
        </w:rPr>
        <w:t xml:space="preserve"> – BP 746, </w:t>
      </w:r>
      <w:r>
        <w:rPr>
          <w:bCs/>
          <w:sz w:val="22"/>
          <w:szCs w:val="22"/>
        </w:rPr>
        <w:br/>
      </w:r>
      <w:r w:rsidRPr="005613DC">
        <w:rPr>
          <w:bCs/>
          <w:sz w:val="22"/>
          <w:szCs w:val="22"/>
        </w:rPr>
        <w:t>101 Antananarivo</w:t>
      </w:r>
      <w:r>
        <w:rPr>
          <w:bCs/>
          <w:sz w:val="22"/>
          <w:szCs w:val="22"/>
        </w:rPr>
        <w:t xml:space="preserve">, </w:t>
      </w:r>
      <w:r w:rsidRPr="005613DC">
        <w:rPr>
          <w:bCs/>
          <w:smallCaps/>
          <w:sz w:val="22"/>
          <w:szCs w:val="22"/>
        </w:rPr>
        <w:t>Madagascar</w:t>
      </w:r>
    </w:p>
    <w:p w14:paraId="2CB623AF" w14:textId="77777777" w:rsidR="0031275D" w:rsidRPr="00663204" w:rsidRDefault="0031275D" w:rsidP="0031275D">
      <w:pPr>
        <w:spacing w:line="300" w:lineRule="exact"/>
        <w:ind w:left="2268"/>
        <w:rPr>
          <w:bCs/>
          <w:sz w:val="22"/>
          <w:szCs w:val="22"/>
        </w:rPr>
      </w:pPr>
      <w:r>
        <w:rPr>
          <w:bCs/>
          <w:sz w:val="22"/>
          <w:szCs w:val="22"/>
        </w:rPr>
        <w:t>C</w:t>
      </w:r>
      <w:r w:rsidRPr="005613DC">
        <w:rPr>
          <w:bCs/>
          <w:sz w:val="22"/>
          <w:szCs w:val="22"/>
        </w:rPr>
        <w:t xml:space="preserve">ourrier électronique : </w:t>
      </w:r>
      <w:hyperlink r:id="rId12" w:history="1">
        <w:r w:rsidRPr="00D63514">
          <w:rPr>
            <w:rStyle w:val="Hyperlink"/>
          </w:rPr>
          <w:t>Delegation-madagascar@eeas.europa.eu</w:t>
        </w:r>
      </w:hyperlink>
      <w:r w:rsidRPr="00663204">
        <w:t xml:space="preserve"> </w:t>
      </w:r>
    </w:p>
    <w:p w14:paraId="73276B21" w14:textId="77777777" w:rsidR="0031275D" w:rsidRDefault="0031275D" w:rsidP="0031275D">
      <w:pPr>
        <w:tabs>
          <w:tab w:val="left" w:pos="1120"/>
        </w:tabs>
        <w:ind w:left="1125" w:right="73" w:hanging="343"/>
        <w:jc w:val="both"/>
        <w:rPr>
          <w:sz w:val="22"/>
          <w:szCs w:val="22"/>
        </w:rPr>
      </w:pPr>
    </w:p>
    <w:p w14:paraId="4A45B9D0" w14:textId="77777777" w:rsidR="0031275D" w:rsidRPr="00986AB6" w:rsidRDefault="0031275D" w:rsidP="0031275D">
      <w:pPr>
        <w:pStyle w:val="ListParagraph"/>
        <w:numPr>
          <w:ilvl w:val="0"/>
          <w:numId w:val="31"/>
        </w:numPr>
        <w:spacing w:before="100" w:after="100"/>
        <w:jc w:val="both"/>
        <w:rPr>
          <w:rFonts w:ascii="Times New Roman" w:hAnsi="Times New Roman"/>
          <w:b/>
          <w:bCs/>
          <w:lang w:val="fr-BE"/>
        </w:rPr>
      </w:pPr>
      <w:r w:rsidRPr="00986AB6">
        <w:rPr>
          <w:rFonts w:ascii="Times New Roman" w:hAnsi="Times New Roman"/>
          <w:b/>
          <w:bCs/>
          <w:lang w:val="fr-BE"/>
        </w:rPr>
        <w:t>Pour le</w:t>
      </w:r>
      <w:r>
        <w:rPr>
          <w:rFonts w:ascii="Times New Roman" w:hAnsi="Times New Roman"/>
          <w:b/>
          <w:bCs/>
          <w:lang w:val="fr-BE"/>
        </w:rPr>
        <w:t>s</w:t>
      </w:r>
      <w:r w:rsidRPr="00986AB6">
        <w:rPr>
          <w:rFonts w:ascii="Times New Roman" w:hAnsi="Times New Roman"/>
          <w:b/>
          <w:bCs/>
          <w:lang w:val="fr-BE"/>
        </w:rPr>
        <w:t xml:space="preserve"> Maître</w:t>
      </w:r>
      <w:r>
        <w:rPr>
          <w:rFonts w:ascii="Times New Roman" w:hAnsi="Times New Roman"/>
          <w:b/>
          <w:bCs/>
          <w:lang w:val="fr-BE"/>
        </w:rPr>
        <w:t>s</w:t>
      </w:r>
      <w:r w:rsidRPr="00986AB6">
        <w:rPr>
          <w:rFonts w:ascii="Times New Roman" w:hAnsi="Times New Roman"/>
          <w:b/>
          <w:bCs/>
          <w:lang w:val="fr-BE"/>
        </w:rPr>
        <w:t xml:space="preserve"> d'œuvre :</w:t>
      </w:r>
    </w:p>
    <w:p w14:paraId="6FF63EE5" w14:textId="77777777" w:rsidR="0031275D" w:rsidRPr="003E7952" w:rsidRDefault="0031275D" w:rsidP="0031275D">
      <w:pPr>
        <w:spacing w:line="300" w:lineRule="exact"/>
        <w:ind w:left="2268"/>
        <w:rPr>
          <w:bCs/>
          <w:sz w:val="22"/>
          <w:szCs w:val="22"/>
        </w:rPr>
      </w:pPr>
      <w:r w:rsidRPr="003E7952">
        <w:rPr>
          <w:bCs/>
          <w:sz w:val="22"/>
          <w:szCs w:val="22"/>
        </w:rPr>
        <w:t>Monsieur le Directeur Régional de l’Agriculture et de l’Elevage à Analanjirofo</w:t>
      </w:r>
    </w:p>
    <w:p w14:paraId="54D7CB54" w14:textId="77777777" w:rsidR="0031275D" w:rsidRPr="003E7952" w:rsidRDefault="0031275D" w:rsidP="0031275D">
      <w:pPr>
        <w:spacing w:line="300" w:lineRule="exact"/>
        <w:ind w:left="2268"/>
        <w:rPr>
          <w:bCs/>
          <w:sz w:val="22"/>
          <w:szCs w:val="22"/>
        </w:rPr>
      </w:pPr>
      <w:r w:rsidRPr="003E7952">
        <w:rPr>
          <w:bCs/>
          <w:sz w:val="22"/>
          <w:szCs w:val="22"/>
        </w:rPr>
        <w:t>Fénérive-Est – MADAGASCAR</w:t>
      </w:r>
    </w:p>
    <w:p w14:paraId="75A04455" w14:textId="77777777" w:rsidR="0031275D" w:rsidRDefault="0031275D" w:rsidP="0031275D">
      <w:pPr>
        <w:spacing w:line="300" w:lineRule="exact"/>
        <w:ind w:left="2268"/>
        <w:rPr>
          <w:bCs/>
          <w:sz w:val="22"/>
          <w:szCs w:val="22"/>
        </w:rPr>
      </w:pPr>
      <w:r w:rsidRPr="003E7952">
        <w:rPr>
          <w:bCs/>
          <w:sz w:val="22"/>
          <w:szCs w:val="22"/>
        </w:rPr>
        <w:t xml:space="preserve">Courrier électronique : </w:t>
      </w:r>
      <w:r w:rsidRPr="00BB5028">
        <w:rPr>
          <w:bCs/>
          <w:sz w:val="22"/>
          <w:szCs w:val="22"/>
        </w:rPr>
        <w:t xml:space="preserve"> </w:t>
      </w:r>
    </w:p>
    <w:p w14:paraId="206A6385" w14:textId="77777777" w:rsidR="0031275D" w:rsidRDefault="0031275D" w:rsidP="0031275D">
      <w:pPr>
        <w:spacing w:line="300" w:lineRule="exact"/>
        <w:ind w:left="2268"/>
        <w:rPr>
          <w:bCs/>
          <w:sz w:val="22"/>
          <w:szCs w:val="22"/>
        </w:rPr>
      </w:pPr>
    </w:p>
    <w:p w14:paraId="2C78BBDC" w14:textId="77777777" w:rsidR="0031275D" w:rsidRPr="00617532" w:rsidRDefault="0031275D" w:rsidP="0031275D">
      <w:pPr>
        <w:spacing w:line="300" w:lineRule="exact"/>
        <w:ind w:left="2268"/>
        <w:rPr>
          <w:bCs/>
          <w:sz w:val="22"/>
          <w:szCs w:val="22"/>
        </w:rPr>
      </w:pPr>
      <w:r w:rsidRPr="00617532">
        <w:rPr>
          <w:bCs/>
          <w:sz w:val="22"/>
          <w:szCs w:val="22"/>
        </w:rPr>
        <w:t>Monsieur le Directeur Régional de l’Environnement et du Développement Durable à Analanjirofo</w:t>
      </w:r>
    </w:p>
    <w:p w14:paraId="2ECBB8E5" w14:textId="77777777" w:rsidR="0031275D" w:rsidRPr="00617532" w:rsidRDefault="0031275D" w:rsidP="0031275D">
      <w:pPr>
        <w:spacing w:line="300" w:lineRule="exact"/>
        <w:ind w:left="2268"/>
        <w:rPr>
          <w:bCs/>
          <w:sz w:val="22"/>
          <w:szCs w:val="22"/>
        </w:rPr>
      </w:pPr>
      <w:r w:rsidRPr="00617532">
        <w:rPr>
          <w:bCs/>
          <w:sz w:val="22"/>
          <w:szCs w:val="22"/>
        </w:rPr>
        <w:t>Fénérive-Est – MADAGASCAR</w:t>
      </w:r>
    </w:p>
    <w:p w14:paraId="5880F817" w14:textId="77777777" w:rsidR="0031275D" w:rsidRDefault="0031275D" w:rsidP="0031275D">
      <w:pPr>
        <w:spacing w:line="300" w:lineRule="exact"/>
        <w:ind w:left="2268"/>
        <w:rPr>
          <w:bCs/>
          <w:sz w:val="22"/>
          <w:szCs w:val="22"/>
        </w:rPr>
      </w:pPr>
      <w:r w:rsidRPr="00617532">
        <w:rPr>
          <w:bCs/>
          <w:sz w:val="22"/>
          <w:szCs w:val="22"/>
        </w:rPr>
        <w:t>Courrier électronique</w:t>
      </w:r>
      <w:r>
        <w:rPr>
          <w:bCs/>
          <w:sz w:val="22"/>
          <w:szCs w:val="22"/>
        </w:rPr>
        <w:t xml:space="preserve"> : </w:t>
      </w:r>
      <w:r w:rsidRPr="00BB5028">
        <w:rPr>
          <w:bCs/>
          <w:sz w:val="22"/>
          <w:szCs w:val="22"/>
        </w:rPr>
        <w:t xml:space="preserve"> </w:t>
      </w:r>
    </w:p>
    <w:p w14:paraId="66BA6E75" w14:textId="77777777" w:rsidR="0031275D" w:rsidRDefault="0031275D" w:rsidP="0031275D">
      <w:pPr>
        <w:spacing w:line="300" w:lineRule="exact"/>
        <w:ind w:left="2268"/>
        <w:rPr>
          <w:bCs/>
          <w:sz w:val="22"/>
          <w:szCs w:val="22"/>
        </w:rPr>
      </w:pPr>
    </w:p>
    <w:p w14:paraId="5922CD27" w14:textId="77777777" w:rsidR="0031275D" w:rsidRPr="00BB5028" w:rsidRDefault="0031275D" w:rsidP="0031275D">
      <w:pPr>
        <w:pStyle w:val="ListParagraph"/>
        <w:numPr>
          <w:ilvl w:val="0"/>
          <w:numId w:val="31"/>
        </w:numPr>
        <w:spacing w:before="100" w:after="100"/>
        <w:jc w:val="both"/>
        <w:rPr>
          <w:rFonts w:ascii="Times New Roman" w:hAnsi="Times New Roman"/>
          <w:b/>
          <w:bCs/>
          <w:lang w:val="fr-BE"/>
        </w:rPr>
      </w:pPr>
      <w:r w:rsidRPr="00986AB6">
        <w:rPr>
          <w:rFonts w:ascii="Times New Roman" w:hAnsi="Times New Roman"/>
          <w:b/>
          <w:bCs/>
          <w:lang w:val="fr-BE"/>
        </w:rPr>
        <w:lastRenderedPageBreak/>
        <w:t>Pour</w:t>
      </w:r>
      <w:r w:rsidRPr="00BB5028">
        <w:rPr>
          <w:rFonts w:ascii="Times New Roman" w:hAnsi="Times New Roman"/>
          <w:b/>
          <w:bCs/>
          <w:lang w:val="fr-BE"/>
        </w:rPr>
        <w:t xml:space="preserve"> le représentant du Maître d'œuvre :</w:t>
      </w:r>
    </w:p>
    <w:p w14:paraId="27252C5C" w14:textId="77777777" w:rsidR="0031275D" w:rsidRPr="005613DC" w:rsidRDefault="0031275D" w:rsidP="0031275D">
      <w:pPr>
        <w:spacing w:line="300" w:lineRule="exact"/>
        <w:ind w:left="2268"/>
        <w:rPr>
          <w:bCs/>
          <w:sz w:val="22"/>
          <w:szCs w:val="22"/>
        </w:rPr>
      </w:pPr>
      <w:r w:rsidRPr="00386D32">
        <w:rPr>
          <w:bCs/>
          <w:sz w:val="22"/>
          <w:szCs w:val="22"/>
        </w:rPr>
        <w:t>&lt;</w:t>
      </w:r>
      <w:r w:rsidRPr="006A3CF1">
        <w:rPr>
          <w:bCs/>
          <w:sz w:val="22"/>
          <w:szCs w:val="22"/>
          <w:highlight w:val="yellow"/>
        </w:rPr>
        <w:t>Bureau en charge du contrôle et de la surveillance des travaux</w:t>
      </w:r>
      <w:r>
        <w:rPr>
          <w:bCs/>
          <w:sz w:val="22"/>
          <w:szCs w:val="22"/>
        </w:rPr>
        <w:t>&gt;</w:t>
      </w:r>
    </w:p>
    <w:p w14:paraId="58237B12" w14:textId="77777777" w:rsidR="0031275D" w:rsidRPr="00A9211A" w:rsidRDefault="0031275D" w:rsidP="0031275D">
      <w:pPr>
        <w:spacing w:line="300" w:lineRule="exact"/>
        <w:ind w:left="2268"/>
        <w:rPr>
          <w:bCs/>
          <w:sz w:val="22"/>
          <w:szCs w:val="22"/>
        </w:rPr>
      </w:pPr>
      <w:r>
        <w:rPr>
          <w:bCs/>
          <w:sz w:val="22"/>
          <w:szCs w:val="22"/>
        </w:rPr>
        <w:t>Nom du représentant</w:t>
      </w:r>
    </w:p>
    <w:p w14:paraId="64353D79" w14:textId="77777777" w:rsidR="0031275D" w:rsidRDefault="0031275D" w:rsidP="0031275D">
      <w:pPr>
        <w:spacing w:line="300" w:lineRule="exact"/>
        <w:ind w:left="2268"/>
        <w:rPr>
          <w:bCs/>
          <w:sz w:val="22"/>
          <w:szCs w:val="22"/>
        </w:rPr>
      </w:pPr>
      <w:r>
        <w:rPr>
          <w:bCs/>
          <w:sz w:val="22"/>
          <w:szCs w:val="22"/>
        </w:rPr>
        <w:t xml:space="preserve">Adresse </w:t>
      </w:r>
    </w:p>
    <w:p w14:paraId="69844649" w14:textId="77777777" w:rsidR="0031275D" w:rsidRDefault="0031275D" w:rsidP="0031275D">
      <w:pPr>
        <w:spacing w:line="300" w:lineRule="exact"/>
        <w:ind w:left="2268"/>
        <w:rPr>
          <w:bCs/>
          <w:sz w:val="22"/>
          <w:szCs w:val="22"/>
        </w:rPr>
      </w:pPr>
      <w:r w:rsidRPr="005613DC">
        <w:rPr>
          <w:bCs/>
          <w:sz w:val="22"/>
          <w:szCs w:val="22"/>
        </w:rPr>
        <w:t xml:space="preserve">Courrier électronique </w:t>
      </w:r>
    </w:p>
    <w:p w14:paraId="12895DFA" w14:textId="77777777" w:rsidR="0031275D" w:rsidRPr="005613DC" w:rsidRDefault="0031275D" w:rsidP="0031275D">
      <w:pPr>
        <w:spacing w:line="300" w:lineRule="exact"/>
        <w:ind w:left="2268"/>
        <w:rPr>
          <w:bCs/>
          <w:sz w:val="22"/>
          <w:szCs w:val="22"/>
        </w:rPr>
      </w:pPr>
    </w:p>
    <w:p w14:paraId="3AE6F22C" w14:textId="77777777" w:rsidR="0031275D" w:rsidRPr="00986AB6" w:rsidRDefault="0031275D" w:rsidP="0031275D">
      <w:pPr>
        <w:pStyle w:val="ListParagraph"/>
        <w:numPr>
          <w:ilvl w:val="0"/>
          <w:numId w:val="31"/>
        </w:numPr>
        <w:spacing w:before="100" w:after="100"/>
        <w:jc w:val="both"/>
        <w:rPr>
          <w:rFonts w:ascii="Times New Roman" w:hAnsi="Times New Roman"/>
          <w:b/>
          <w:bCs/>
          <w:lang w:val="fr-BE"/>
        </w:rPr>
      </w:pPr>
      <w:r w:rsidRPr="00986AB6">
        <w:rPr>
          <w:rFonts w:ascii="Times New Roman" w:hAnsi="Times New Roman"/>
          <w:b/>
          <w:bCs/>
          <w:lang w:val="fr-BE"/>
        </w:rPr>
        <w:t>Pour le Contractant :</w:t>
      </w:r>
    </w:p>
    <w:p w14:paraId="48E55E39" w14:textId="77777777" w:rsidR="0031275D" w:rsidRPr="005613DC" w:rsidRDefault="0031275D" w:rsidP="0031275D">
      <w:pPr>
        <w:spacing w:line="300" w:lineRule="exact"/>
        <w:ind w:left="2268"/>
        <w:rPr>
          <w:bCs/>
          <w:sz w:val="22"/>
          <w:szCs w:val="22"/>
        </w:rPr>
      </w:pPr>
      <w:r w:rsidRPr="005613DC">
        <w:rPr>
          <w:bCs/>
          <w:sz w:val="22"/>
          <w:szCs w:val="22"/>
        </w:rPr>
        <w:t>Nom du signataire du contrat : ………………………….</w:t>
      </w:r>
    </w:p>
    <w:p w14:paraId="225C7B30" w14:textId="77777777" w:rsidR="0031275D" w:rsidRPr="00663204" w:rsidRDefault="0031275D" w:rsidP="0031275D">
      <w:pPr>
        <w:spacing w:line="300" w:lineRule="exact"/>
        <w:ind w:left="2268"/>
        <w:rPr>
          <w:bCs/>
          <w:sz w:val="22"/>
          <w:szCs w:val="22"/>
        </w:rPr>
      </w:pPr>
      <w:r w:rsidRPr="005613DC">
        <w:rPr>
          <w:bCs/>
          <w:sz w:val="22"/>
          <w:szCs w:val="22"/>
        </w:rPr>
        <w:t>Titre : ……………………..…………….</w:t>
      </w:r>
    </w:p>
    <w:p w14:paraId="2206517F" w14:textId="77777777" w:rsidR="00807B1A" w:rsidRDefault="0031275D" w:rsidP="00807B1A">
      <w:pPr>
        <w:spacing w:after="120"/>
        <w:ind w:left="2160" w:firstLine="108"/>
        <w:rPr>
          <w:bCs/>
        </w:rPr>
      </w:pPr>
      <w:r w:rsidRPr="005613DC">
        <w:rPr>
          <w:bCs/>
        </w:rPr>
        <w:t>Coordonnées </w:t>
      </w:r>
      <w:r>
        <w:rPr>
          <w:bCs/>
        </w:rPr>
        <w:t>de contact</w:t>
      </w:r>
      <w:r w:rsidRPr="005613DC">
        <w:rPr>
          <w:bCs/>
        </w:rPr>
        <w:t>: ………….………………….</w:t>
      </w:r>
    </w:p>
    <w:p w14:paraId="4B101572" w14:textId="77777777" w:rsidR="00C62D6B" w:rsidRDefault="00C62D6B" w:rsidP="00807B1A">
      <w:pPr>
        <w:spacing w:after="120"/>
        <w:ind w:left="2160" w:firstLine="108"/>
        <w:rPr>
          <w:sz w:val="22"/>
          <w:szCs w:val="22"/>
        </w:rPr>
      </w:pPr>
    </w:p>
    <w:p w14:paraId="088AE774" w14:textId="77777777" w:rsidR="003C0C4C" w:rsidRPr="003C0C4C" w:rsidRDefault="003C0C4C" w:rsidP="00533A18">
      <w:pPr>
        <w:spacing w:after="120"/>
        <w:ind w:left="1134" w:hanging="567"/>
        <w:rPr>
          <w:sz w:val="22"/>
          <w:szCs w:val="22"/>
        </w:rPr>
      </w:pPr>
      <w:r>
        <w:rPr>
          <w:sz w:val="22"/>
          <w:szCs w:val="22"/>
        </w:rPr>
        <w:t>4.2</w:t>
      </w:r>
      <w:r>
        <w:tab/>
      </w:r>
      <w:r>
        <w:rPr>
          <w:sz w:val="22"/>
          <w:szCs w:val="22"/>
        </w:rPr>
        <w:t>Le maître d’ouvrage et le contractant utilisent un système électronique à toutes les étapes de l’exécution du marché, y compris, notamment, pour la gestion du marché (modifications et ordres de service), l’élaboration de rapports (y compris sur les résultats) et les paiements.  Le contractant est tenu de s’inscrire sur le système d’échange électronique approprié et d’en faire usage pour assurer la gestion électronique du marché.</w:t>
      </w:r>
    </w:p>
    <w:p w14:paraId="53DE1299" w14:textId="1163EAEA" w:rsidR="003C0C4C" w:rsidRDefault="003C0C4C" w:rsidP="0042293E">
      <w:pPr>
        <w:spacing w:after="120"/>
        <w:ind w:left="1134" w:hanging="567"/>
        <w:jc w:val="both"/>
        <w:rPr>
          <w:sz w:val="22"/>
          <w:szCs w:val="22"/>
        </w:rPr>
      </w:pPr>
      <w:r>
        <w:tab/>
      </w:r>
      <w:r>
        <w:rPr>
          <w:sz w:val="22"/>
          <w:szCs w:val="22"/>
        </w:rPr>
        <w:t>La gestion électronique du marché au moyen du système susmentionné peut commencer à la date de début de l’exécution du marché, comme décrit à l’article 33 des conditions générales du marché, ou à une date ultérieure. Dans ce dernier cas, le maître d’ouvrage informe le contractant par écrit de son obligation d’utiliser le système électronique pour toutes les communications dans un délai maximal de trois mois.</w:t>
      </w:r>
    </w:p>
    <w:p w14:paraId="4137BF97" w14:textId="77777777" w:rsidR="00807B1A" w:rsidRPr="006015D0" w:rsidRDefault="00807B1A" w:rsidP="0042293E">
      <w:pPr>
        <w:spacing w:after="120"/>
        <w:ind w:left="1134" w:hanging="567"/>
        <w:jc w:val="both"/>
        <w:rPr>
          <w:sz w:val="22"/>
          <w:szCs w:val="22"/>
        </w:rPr>
      </w:pPr>
    </w:p>
    <w:p w14:paraId="097C6009" w14:textId="77777777" w:rsidR="001050EE" w:rsidRPr="006015D0" w:rsidRDefault="001050EE" w:rsidP="0042293E">
      <w:pPr>
        <w:spacing w:after="120"/>
        <w:ind w:left="1134" w:hanging="1134"/>
        <w:jc w:val="both"/>
        <w:rPr>
          <w:b/>
          <w:szCs w:val="24"/>
        </w:rPr>
      </w:pPr>
      <w:r w:rsidRPr="006077EF">
        <w:rPr>
          <w:b/>
          <w:szCs w:val="24"/>
        </w:rPr>
        <w:t>Article 5</w:t>
      </w:r>
      <w:r w:rsidRPr="006077EF">
        <w:tab/>
      </w:r>
      <w:r w:rsidRPr="006077EF">
        <w:rPr>
          <w:b/>
          <w:szCs w:val="24"/>
        </w:rPr>
        <w:t>Le maître d’œuvre et le représentant du maître d’œuvre</w:t>
      </w:r>
    </w:p>
    <w:p w14:paraId="35647C47" w14:textId="14928845" w:rsidR="0068637E" w:rsidRDefault="001050EE" w:rsidP="0042293E">
      <w:pPr>
        <w:spacing w:after="120"/>
        <w:ind w:left="1134" w:hanging="567"/>
        <w:jc w:val="both"/>
        <w:rPr>
          <w:sz w:val="22"/>
          <w:szCs w:val="22"/>
        </w:rPr>
      </w:pPr>
      <w:r>
        <w:rPr>
          <w:bCs/>
          <w:sz w:val="22"/>
          <w:szCs w:val="22"/>
        </w:rPr>
        <w:t>5.2</w:t>
      </w:r>
      <w:r>
        <w:tab/>
      </w:r>
      <w:r w:rsidR="00BE16C2" w:rsidRPr="00BE16C2">
        <w:rPr>
          <w:sz w:val="22"/>
          <w:szCs w:val="22"/>
        </w:rPr>
        <w:t xml:space="preserve">Le maître d’œuvre ou son représentant se fera représenter par un bureau de contrôle recruté à cet effet pour la surveillance de la qualité et de l’évolution des travaux. Le bureau de contrôle dispose des moyens nécessaires à l’exercice de sa mission. Le contractant fournit au maître d’œuvre ou à son représentant les installations prévues </w:t>
      </w:r>
      <w:bookmarkStart w:id="0" w:name="_Hlk123640986"/>
      <w:r w:rsidR="00BE16C2" w:rsidRPr="00BE16C2">
        <w:rPr>
          <w:sz w:val="22"/>
          <w:szCs w:val="22"/>
        </w:rPr>
        <w:t>au Formulaire 4.6.8 de la section 4 – Volume 1 du dossier d’Appel d’Offre</w:t>
      </w:r>
      <w:bookmarkEnd w:id="0"/>
      <w:r w:rsidR="00BE16C2" w:rsidRPr="00BE16C2">
        <w:rPr>
          <w:sz w:val="22"/>
          <w:szCs w:val="22"/>
        </w:rPr>
        <w:t>.</w:t>
      </w:r>
    </w:p>
    <w:p w14:paraId="341FE5BF" w14:textId="77777777" w:rsidR="0068637E" w:rsidRPr="00860652" w:rsidRDefault="0068637E" w:rsidP="0068637E">
      <w:pPr>
        <w:spacing w:before="120" w:after="120"/>
        <w:ind w:left="1134" w:hanging="567"/>
        <w:jc w:val="both"/>
        <w:rPr>
          <w:sz w:val="22"/>
          <w:szCs w:val="22"/>
        </w:rPr>
      </w:pPr>
      <w:r w:rsidRPr="00860652">
        <w:rPr>
          <w:sz w:val="22"/>
          <w:szCs w:val="22"/>
        </w:rPr>
        <w:t>5.4</w:t>
      </w:r>
      <w:r w:rsidRPr="00860652">
        <w:rPr>
          <w:sz w:val="22"/>
          <w:szCs w:val="22"/>
        </w:rPr>
        <w:tab/>
        <w:t>Le représentant du maître d’œuvre (</w:t>
      </w:r>
      <w:r>
        <w:rPr>
          <w:sz w:val="22"/>
          <w:szCs w:val="22"/>
        </w:rPr>
        <w:t>bureau</w:t>
      </w:r>
      <w:r w:rsidRPr="00860652">
        <w:rPr>
          <w:sz w:val="22"/>
          <w:szCs w:val="22"/>
        </w:rPr>
        <w:t xml:space="preserve"> de contrôle) délivrera tous les ordres de service nécessaires à la bonne exécution des travaux, à l’exclusion de ceux ayant pour objet :</w:t>
      </w:r>
    </w:p>
    <w:p w14:paraId="46BDAA60" w14:textId="77777777" w:rsidR="0068637E" w:rsidRPr="0007221F" w:rsidRDefault="0068637E" w:rsidP="0068637E">
      <w:pPr>
        <w:pStyle w:val="ListParagraph"/>
        <w:numPr>
          <w:ilvl w:val="0"/>
          <w:numId w:val="35"/>
        </w:numPr>
        <w:spacing w:before="60" w:after="60"/>
        <w:ind w:left="1985" w:hanging="284"/>
        <w:contextualSpacing/>
        <w:jc w:val="both"/>
        <w:rPr>
          <w:rFonts w:ascii="Times New Roman" w:hAnsi="Times New Roman"/>
          <w:noProof w:val="0"/>
        </w:rPr>
      </w:pPr>
      <w:r w:rsidRPr="00CF2C53">
        <w:rPr>
          <w:rFonts w:ascii="Times New Roman" w:hAnsi="Times New Roman"/>
          <w:noProof w:val="0"/>
        </w:rPr>
        <w:t>la notification et le démarrage du marché ;</w:t>
      </w:r>
    </w:p>
    <w:p w14:paraId="753E047B" w14:textId="77777777" w:rsidR="0068637E" w:rsidRPr="0007221F" w:rsidRDefault="0068637E" w:rsidP="0068637E">
      <w:pPr>
        <w:pStyle w:val="ListParagraph"/>
        <w:numPr>
          <w:ilvl w:val="0"/>
          <w:numId w:val="35"/>
        </w:numPr>
        <w:spacing w:before="60" w:after="60"/>
        <w:ind w:left="1985" w:hanging="284"/>
        <w:contextualSpacing/>
        <w:jc w:val="both"/>
        <w:rPr>
          <w:rFonts w:ascii="Times New Roman" w:hAnsi="Times New Roman"/>
          <w:noProof w:val="0"/>
        </w:rPr>
      </w:pPr>
      <w:r w:rsidRPr="00CF2C53">
        <w:rPr>
          <w:rFonts w:ascii="Times New Roman" w:hAnsi="Times New Roman"/>
          <w:noProof w:val="0"/>
        </w:rPr>
        <w:t>l’arrêt des travaux ou l’application de pénalité pour retard par rapport à la fin du délai contractuel ;</w:t>
      </w:r>
    </w:p>
    <w:p w14:paraId="673EDA31" w14:textId="77777777" w:rsidR="0068637E" w:rsidRPr="0007221F" w:rsidRDefault="0068637E" w:rsidP="0068637E">
      <w:pPr>
        <w:pStyle w:val="ListParagraph"/>
        <w:numPr>
          <w:ilvl w:val="0"/>
          <w:numId w:val="35"/>
        </w:numPr>
        <w:spacing w:before="60" w:after="60"/>
        <w:ind w:left="1985" w:hanging="284"/>
        <w:contextualSpacing/>
        <w:jc w:val="both"/>
        <w:rPr>
          <w:rFonts w:ascii="Times New Roman" w:hAnsi="Times New Roman"/>
          <w:noProof w:val="0"/>
        </w:rPr>
      </w:pPr>
      <w:r w:rsidRPr="00CF2C53">
        <w:rPr>
          <w:rFonts w:ascii="Times New Roman" w:hAnsi="Times New Roman"/>
          <w:noProof w:val="0"/>
        </w:rPr>
        <w:t>toutes décisions entraînant la modification du montant du contrat ;</w:t>
      </w:r>
    </w:p>
    <w:p w14:paraId="71457F36" w14:textId="77777777" w:rsidR="0068637E" w:rsidRPr="0007221F" w:rsidRDefault="0068637E" w:rsidP="0068637E">
      <w:pPr>
        <w:pStyle w:val="ListParagraph"/>
        <w:numPr>
          <w:ilvl w:val="0"/>
          <w:numId w:val="35"/>
        </w:numPr>
        <w:spacing w:before="60" w:after="60"/>
        <w:ind w:left="1985" w:hanging="284"/>
        <w:contextualSpacing/>
        <w:jc w:val="both"/>
        <w:rPr>
          <w:rFonts w:ascii="Times New Roman" w:hAnsi="Times New Roman"/>
          <w:noProof w:val="0"/>
        </w:rPr>
      </w:pPr>
      <w:r w:rsidRPr="00CF2C53">
        <w:rPr>
          <w:rFonts w:ascii="Times New Roman" w:hAnsi="Times New Roman"/>
          <w:noProof w:val="0"/>
        </w:rPr>
        <w:t>la prolongation ou l’augmentation de délai ;</w:t>
      </w:r>
    </w:p>
    <w:p w14:paraId="122E2CA9" w14:textId="77777777" w:rsidR="0068637E" w:rsidRPr="0007221F" w:rsidRDefault="0068637E" w:rsidP="0068637E">
      <w:pPr>
        <w:pStyle w:val="ListParagraph"/>
        <w:numPr>
          <w:ilvl w:val="0"/>
          <w:numId w:val="35"/>
        </w:numPr>
        <w:spacing w:before="60" w:after="60"/>
        <w:ind w:left="1985" w:hanging="284"/>
        <w:contextualSpacing/>
        <w:jc w:val="both"/>
        <w:rPr>
          <w:rFonts w:ascii="Times New Roman" w:hAnsi="Times New Roman"/>
          <w:noProof w:val="0"/>
        </w:rPr>
      </w:pPr>
      <w:r w:rsidRPr="00CF2C53">
        <w:rPr>
          <w:rFonts w:ascii="Times New Roman" w:hAnsi="Times New Roman"/>
          <w:noProof w:val="0"/>
        </w:rPr>
        <w:t>les modifications significatives de l’objet ou des quantités prévues au titre du marché.</w:t>
      </w:r>
    </w:p>
    <w:p w14:paraId="739948E5" w14:textId="15F62649" w:rsidR="001050EE" w:rsidRPr="00CA6399" w:rsidRDefault="001466DD" w:rsidP="0042293E">
      <w:pPr>
        <w:keepNext/>
        <w:keepLines/>
        <w:spacing w:after="120"/>
        <w:ind w:left="1134" w:hanging="1134"/>
        <w:jc w:val="both"/>
        <w:rPr>
          <w:b/>
          <w:szCs w:val="24"/>
        </w:rPr>
      </w:pPr>
      <w:r w:rsidRPr="00533A18">
        <w:rPr>
          <w:b/>
          <w:szCs w:val="24"/>
        </w:rPr>
        <w:t>Article 7</w:t>
      </w:r>
      <w:r w:rsidRPr="00CA6399">
        <w:tab/>
      </w:r>
      <w:r w:rsidRPr="00533A18">
        <w:rPr>
          <w:b/>
          <w:szCs w:val="24"/>
        </w:rPr>
        <w:t>Sous-traitance</w:t>
      </w:r>
    </w:p>
    <w:p w14:paraId="3085F737" w14:textId="7AD2E157" w:rsidR="001050EE" w:rsidRPr="006015D0" w:rsidRDefault="001050EE" w:rsidP="0042293E">
      <w:pPr>
        <w:keepNext/>
        <w:keepLines/>
        <w:widowControl w:val="0"/>
        <w:shd w:val="clear" w:color="auto" w:fill="FFFFFF"/>
        <w:autoSpaceDE w:val="0"/>
        <w:autoSpaceDN w:val="0"/>
        <w:adjustRightInd w:val="0"/>
        <w:spacing w:after="120"/>
        <w:ind w:left="1134" w:right="6" w:hanging="567"/>
        <w:jc w:val="both"/>
        <w:rPr>
          <w:color w:val="000000"/>
          <w:sz w:val="22"/>
          <w:szCs w:val="22"/>
        </w:rPr>
      </w:pPr>
      <w:r w:rsidRPr="00CA6399">
        <w:rPr>
          <w:color w:val="000000"/>
          <w:sz w:val="22"/>
          <w:szCs w:val="22"/>
        </w:rPr>
        <w:t>7.3</w:t>
      </w:r>
      <w:r w:rsidRPr="00CA6399">
        <w:tab/>
      </w:r>
      <w:r w:rsidRPr="00533A18">
        <w:rPr>
          <w:color w:val="000000"/>
          <w:sz w:val="22"/>
          <w:szCs w:val="22"/>
        </w:rPr>
        <w:t>Lors de la sélection des sous-traitants, le contractant donne la préférence aux personnes physiques, sociétés ou entreprises des États ACP aptes à exécuter les travaux requis dans les mêmes conditions.</w:t>
      </w:r>
    </w:p>
    <w:p w14:paraId="1E69CF13" w14:textId="77777777" w:rsidR="001050EE" w:rsidRPr="006015D0" w:rsidRDefault="001050EE" w:rsidP="0042293E">
      <w:pPr>
        <w:spacing w:after="120"/>
        <w:ind w:left="1134" w:hanging="1134"/>
        <w:jc w:val="both"/>
        <w:rPr>
          <w:b/>
          <w:szCs w:val="24"/>
        </w:rPr>
      </w:pPr>
      <w:r>
        <w:rPr>
          <w:b/>
          <w:szCs w:val="24"/>
        </w:rPr>
        <w:t>Article 8</w:t>
      </w:r>
      <w:r>
        <w:tab/>
      </w:r>
      <w:r>
        <w:rPr>
          <w:b/>
          <w:szCs w:val="24"/>
        </w:rPr>
        <w:t>Documents à fournir</w:t>
      </w:r>
    </w:p>
    <w:p w14:paraId="31BCF73D" w14:textId="77777777" w:rsidR="00C62D6B" w:rsidRDefault="009E24C9" w:rsidP="00C62D6B">
      <w:pPr>
        <w:spacing w:before="120" w:after="120"/>
        <w:ind w:left="1134" w:hanging="567"/>
        <w:jc w:val="both"/>
        <w:rPr>
          <w:sz w:val="22"/>
          <w:szCs w:val="22"/>
        </w:rPr>
      </w:pPr>
      <w:r>
        <w:rPr>
          <w:sz w:val="22"/>
          <w:szCs w:val="22"/>
        </w:rPr>
        <w:t>8.1</w:t>
      </w:r>
      <w:r>
        <w:tab/>
      </w:r>
      <w:r w:rsidR="00C62D6B" w:rsidRPr="0019506C">
        <w:rPr>
          <w:sz w:val="22"/>
          <w:szCs w:val="22"/>
        </w:rPr>
        <w:t xml:space="preserve">Sur requête du contractant, </w:t>
      </w:r>
      <w:r w:rsidR="00C62D6B">
        <w:rPr>
          <w:sz w:val="22"/>
          <w:szCs w:val="22"/>
        </w:rPr>
        <w:t>l</w:t>
      </w:r>
      <w:r w:rsidR="00C62D6B" w:rsidRPr="000A55FC">
        <w:rPr>
          <w:sz w:val="22"/>
          <w:szCs w:val="22"/>
        </w:rPr>
        <w:t xml:space="preserve">e maître d’œuvre </w:t>
      </w:r>
      <w:r w:rsidR="00C62D6B" w:rsidRPr="0019506C">
        <w:rPr>
          <w:sz w:val="22"/>
          <w:szCs w:val="22"/>
        </w:rPr>
        <w:t>mettra à sa disposition les dossiers d’étude</w:t>
      </w:r>
      <w:r w:rsidR="00C62D6B">
        <w:rPr>
          <w:sz w:val="22"/>
          <w:szCs w:val="22"/>
        </w:rPr>
        <w:t>s</w:t>
      </w:r>
      <w:r w:rsidR="00C62D6B" w:rsidRPr="0019506C">
        <w:rPr>
          <w:sz w:val="22"/>
          <w:szCs w:val="22"/>
        </w:rPr>
        <w:t xml:space="preserve">. </w:t>
      </w:r>
      <w:r w:rsidR="00C62D6B">
        <w:rPr>
          <w:sz w:val="22"/>
          <w:szCs w:val="22"/>
        </w:rPr>
        <w:br/>
      </w:r>
      <w:r w:rsidR="00C62D6B" w:rsidRPr="0019506C">
        <w:rPr>
          <w:sz w:val="22"/>
          <w:szCs w:val="22"/>
        </w:rPr>
        <w:t>Le contr</w:t>
      </w:r>
      <w:r w:rsidR="00C62D6B">
        <w:rPr>
          <w:sz w:val="22"/>
          <w:szCs w:val="22"/>
        </w:rPr>
        <w:t>a</w:t>
      </w:r>
      <w:r w:rsidR="00C62D6B" w:rsidRPr="0019506C">
        <w:rPr>
          <w:sz w:val="22"/>
          <w:szCs w:val="22"/>
        </w:rPr>
        <w:t xml:space="preserve">ctant s’engage à restituer les documents et </w:t>
      </w:r>
      <w:r w:rsidR="00C62D6B">
        <w:rPr>
          <w:sz w:val="22"/>
          <w:szCs w:val="22"/>
        </w:rPr>
        <w:t>à</w:t>
      </w:r>
      <w:r w:rsidR="00C62D6B" w:rsidRPr="0019506C">
        <w:rPr>
          <w:sz w:val="22"/>
          <w:szCs w:val="22"/>
        </w:rPr>
        <w:t xml:space="preserve"> n’en conserver aucun à l’issue des travaux</w:t>
      </w:r>
      <w:r w:rsidR="00C62D6B" w:rsidRPr="000A55FC">
        <w:rPr>
          <w:sz w:val="22"/>
          <w:szCs w:val="22"/>
        </w:rPr>
        <w:t>.</w:t>
      </w:r>
    </w:p>
    <w:p w14:paraId="327D6F3A" w14:textId="04F0E0B0" w:rsidR="001050EE" w:rsidRPr="006015D0" w:rsidRDefault="001050EE" w:rsidP="0042293E">
      <w:pPr>
        <w:spacing w:after="120"/>
        <w:ind w:left="1134" w:hanging="1134"/>
        <w:jc w:val="both"/>
        <w:rPr>
          <w:b/>
          <w:szCs w:val="24"/>
        </w:rPr>
      </w:pPr>
      <w:r>
        <w:rPr>
          <w:b/>
          <w:szCs w:val="24"/>
        </w:rPr>
        <w:lastRenderedPageBreak/>
        <w:t>Article 9</w:t>
      </w:r>
      <w:r>
        <w:tab/>
      </w:r>
      <w:r>
        <w:rPr>
          <w:b/>
          <w:szCs w:val="24"/>
        </w:rPr>
        <w:t>Accès au chantier </w:t>
      </w:r>
    </w:p>
    <w:p w14:paraId="1120BF91" w14:textId="77777777" w:rsidR="001050EE" w:rsidRPr="006015D0" w:rsidRDefault="001050EE" w:rsidP="0042293E">
      <w:pPr>
        <w:spacing w:after="120"/>
        <w:ind w:left="1134" w:hanging="567"/>
        <w:jc w:val="both"/>
        <w:rPr>
          <w:sz w:val="22"/>
          <w:szCs w:val="22"/>
        </w:rPr>
      </w:pPr>
      <w:r>
        <w:rPr>
          <w:bCs/>
          <w:sz w:val="22"/>
          <w:szCs w:val="22"/>
        </w:rPr>
        <w:t>9.1</w:t>
      </w:r>
      <w:r>
        <w:tab/>
      </w:r>
      <w:r>
        <w:rPr>
          <w:sz w:val="22"/>
          <w:szCs w:val="22"/>
        </w:rPr>
        <w:t>L’attention du contractant est attirée sur le fait qu’il existe un chef de délégation de l’Union européenne dans l’État du maître d’ouvrage. Le contractant est tenu de lui donner libre accès à ses chantiers, usines, ateliers, etc., et, d’une manière générale, de lui accorder toutes facilités utiles pour l’accomplissement de ses fonctions au même titre qu’au maître d’œuvre. Ces mêmes dispositions s’appliquent également aux représentants du chef de délégation par lui désignés.</w:t>
      </w:r>
    </w:p>
    <w:p w14:paraId="3061D9B2" w14:textId="27E86AA6" w:rsidR="001050EE" w:rsidRPr="006015D0" w:rsidRDefault="001050EE" w:rsidP="0042293E">
      <w:pPr>
        <w:spacing w:after="120"/>
        <w:ind w:left="1134"/>
        <w:jc w:val="both"/>
        <w:rPr>
          <w:sz w:val="22"/>
          <w:szCs w:val="22"/>
        </w:rPr>
      </w:pPr>
      <w:r>
        <w:rPr>
          <w:sz w:val="22"/>
          <w:szCs w:val="22"/>
        </w:rPr>
        <w:t xml:space="preserve">Une copie de toute correspondance échangée entre le contractant et le maître d’ouvrage ou le maître d’œuvre doit être envoyée, pour information, </w:t>
      </w:r>
      <w:r w:rsidR="00CA6399">
        <w:rPr>
          <w:sz w:val="22"/>
          <w:szCs w:val="22"/>
        </w:rPr>
        <w:t>à</w:t>
      </w:r>
      <w:r>
        <w:rPr>
          <w:sz w:val="22"/>
          <w:szCs w:val="22"/>
        </w:rPr>
        <w:t xml:space="preserve"> la délégation de l’Union européenne à l’adresse administrative suivante</w:t>
      </w:r>
      <w:r w:rsidR="00CA6399">
        <w:rPr>
          <w:sz w:val="22"/>
          <w:szCs w:val="22"/>
        </w:rPr>
        <w:t xml:space="preserve"> </w:t>
      </w:r>
      <w:r>
        <w:rPr>
          <w:sz w:val="22"/>
          <w:szCs w:val="22"/>
        </w:rPr>
        <w:t>:</w:t>
      </w:r>
    </w:p>
    <w:p w14:paraId="0C30805F" w14:textId="77777777" w:rsidR="00CA6399" w:rsidRPr="00386D32" w:rsidRDefault="00CA6399" w:rsidP="00CA6399">
      <w:pPr>
        <w:pStyle w:val="Heading2"/>
        <w:ind w:left="2127" w:firstLine="0"/>
        <w:jc w:val="left"/>
        <w:rPr>
          <w:rFonts w:ascii="Times New Roman" w:hAnsi="Times New Roman"/>
          <w:sz w:val="22"/>
          <w:szCs w:val="22"/>
        </w:rPr>
      </w:pPr>
      <w:r w:rsidRPr="00386D32">
        <w:rPr>
          <w:rFonts w:ascii="Times New Roman" w:hAnsi="Times New Roman"/>
          <w:sz w:val="22"/>
          <w:szCs w:val="22"/>
        </w:rPr>
        <w:t>Monsieur le Chef de Coopération</w:t>
      </w:r>
    </w:p>
    <w:p w14:paraId="3BB973A9" w14:textId="77777777" w:rsidR="00CA6399" w:rsidRPr="00386D32" w:rsidRDefault="00CA6399" w:rsidP="00CA6399">
      <w:pPr>
        <w:pStyle w:val="Heading2"/>
        <w:ind w:left="2127" w:firstLine="0"/>
        <w:jc w:val="left"/>
        <w:rPr>
          <w:rFonts w:ascii="Times New Roman" w:hAnsi="Times New Roman"/>
          <w:b w:val="0"/>
          <w:sz w:val="22"/>
          <w:szCs w:val="22"/>
        </w:rPr>
      </w:pPr>
      <w:r w:rsidRPr="00386D32">
        <w:rPr>
          <w:rFonts w:ascii="Times New Roman" w:hAnsi="Times New Roman"/>
          <w:b w:val="0"/>
          <w:sz w:val="22"/>
          <w:szCs w:val="22"/>
        </w:rPr>
        <w:t xml:space="preserve">Délégation de l'Union Européenne à Madagascar </w:t>
      </w:r>
    </w:p>
    <w:p w14:paraId="5496E83E" w14:textId="77777777" w:rsidR="00CA6399" w:rsidRPr="00386D32" w:rsidRDefault="00CA6399" w:rsidP="00CA6399">
      <w:pPr>
        <w:pStyle w:val="Heading2"/>
        <w:ind w:left="2127" w:firstLine="0"/>
        <w:rPr>
          <w:rFonts w:ascii="Times New Roman" w:hAnsi="Times New Roman"/>
          <w:b w:val="0"/>
          <w:sz w:val="22"/>
          <w:szCs w:val="22"/>
        </w:rPr>
      </w:pPr>
      <w:r w:rsidRPr="00386D32">
        <w:rPr>
          <w:rFonts w:ascii="Times New Roman" w:hAnsi="Times New Roman"/>
          <w:b w:val="0"/>
          <w:sz w:val="22"/>
          <w:szCs w:val="22"/>
        </w:rPr>
        <w:t xml:space="preserve">Tour </w:t>
      </w:r>
      <w:proofErr w:type="spellStart"/>
      <w:r w:rsidRPr="00386D32">
        <w:rPr>
          <w:rFonts w:ascii="Times New Roman" w:hAnsi="Times New Roman"/>
          <w:b w:val="0"/>
          <w:sz w:val="22"/>
          <w:szCs w:val="22"/>
        </w:rPr>
        <w:t>Zital</w:t>
      </w:r>
      <w:proofErr w:type="spellEnd"/>
      <w:r w:rsidRPr="00386D32">
        <w:rPr>
          <w:rFonts w:ascii="Times New Roman" w:hAnsi="Times New Roman"/>
          <w:b w:val="0"/>
          <w:sz w:val="22"/>
          <w:szCs w:val="22"/>
        </w:rPr>
        <w:t xml:space="preserve"> - 9ème étage - </w:t>
      </w:r>
      <w:proofErr w:type="spellStart"/>
      <w:r w:rsidRPr="00386D32">
        <w:rPr>
          <w:rFonts w:ascii="Times New Roman" w:hAnsi="Times New Roman"/>
          <w:b w:val="0"/>
          <w:sz w:val="22"/>
          <w:szCs w:val="22"/>
        </w:rPr>
        <w:t>Ankorondrano</w:t>
      </w:r>
      <w:proofErr w:type="spellEnd"/>
      <w:r w:rsidRPr="00386D32">
        <w:rPr>
          <w:rFonts w:ascii="Times New Roman" w:hAnsi="Times New Roman"/>
          <w:b w:val="0"/>
          <w:sz w:val="22"/>
          <w:szCs w:val="22"/>
        </w:rPr>
        <w:t xml:space="preserve"> - BP 746, </w:t>
      </w:r>
    </w:p>
    <w:p w14:paraId="3C588829" w14:textId="7525AEB5" w:rsidR="00CA6399" w:rsidRDefault="00CA6399" w:rsidP="00CA6399">
      <w:pPr>
        <w:pStyle w:val="Heading2"/>
        <w:ind w:left="2127" w:firstLine="0"/>
        <w:rPr>
          <w:rFonts w:ascii="Times New Roman" w:hAnsi="Times New Roman"/>
          <w:b w:val="0"/>
          <w:sz w:val="22"/>
          <w:szCs w:val="22"/>
        </w:rPr>
      </w:pPr>
      <w:r w:rsidRPr="00386D32">
        <w:rPr>
          <w:rFonts w:ascii="Times New Roman" w:hAnsi="Times New Roman"/>
          <w:b w:val="0"/>
          <w:sz w:val="22"/>
          <w:szCs w:val="22"/>
        </w:rPr>
        <w:t>101 Antananarivo, Madagascar</w:t>
      </w:r>
    </w:p>
    <w:p w14:paraId="41AC4147" w14:textId="77777777" w:rsidR="00CA6399" w:rsidRPr="00533A18" w:rsidRDefault="00CA6399" w:rsidP="00533A18"/>
    <w:p w14:paraId="747FB707" w14:textId="77777777" w:rsidR="001A72CD" w:rsidRPr="006015D0" w:rsidRDefault="001A72CD" w:rsidP="0042293E">
      <w:pPr>
        <w:tabs>
          <w:tab w:val="left" w:pos="1134"/>
        </w:tabs>
        <w:spacing w:after="120"/>
        <w:jc w:val="both"/>
        <w:rPr>
          <w:b/>
          <w:bCs/>
          <w:sz w:val="22"/>
          <w:szCs w:val="22"/>
        </w:rPr>
      </w:pPr>
      <w:r>
        <w:rPr>
          <w:b/>
          <w:bCs/>
          <w:sz w:val="22"/>
          <w:szCs w:val="22"/>
        </w:rPr>
        <w:t>Article 12</w:t>
      </w:r>
      <w:r>
        <w:tab/>
      </w:r>
      <w:r>
        <w:rPr>
          <w:b/>
          <w:bCs/>
          <w:sz w:val="22"/>
          <w:szCs w:val="22"/>
        </w:rPr>
        <w:t>Obligations générales</w:t>
      </w:r>
    </w:p>
    <w:p w14:paraId="76A1434F" w14:textId="77777777" w:rsidR="00CA6399" w:rsidRPr="0038234B" w:rsidRDefault="001A72CD" w:rsidP="00CA6399">
      <w:pPr>
        <w:spacing w:before="120" w:after="120"/>
        <w:ind w:left="1276" w:hanging="709"/>
        <w:jc w:val="both"/>
        <w:rPr>
          <w:sz w:val="22"/>
          <w:szCs w:val="22"/>
        </w:rPr>
      </w:pPr>
      <w:r>
        <w:rPr>
          <w:bCs/>
          <w:sz w:val="22"/>
          <w:szCs w:val="22"/>
        </w:rPr>
        <w:t>12.9</w:t>
      </w:r>
      <w:r>
        <w:tab/>
      </w:r>
      <w:r w:rsidR="00CA6399" w:rsidRPr="0038234B">
        <w:rPr>
          <w:sz w:val="22"/>
          <w:szCs w:val="22"/>
        </w:rPr>
        <w:t xml:space="preserve">Les exigences les plus récentes en matière de communication et de visibilité applicables à l’action extérieure financée par l’Union européenne, établies et publiées par la Commission européenne, peuvent être consultées ou téléchargées à l'adresse suivante : </w:t>
      </w:r>
    </w:p>
    <w:p w14:paraId="3808783B" w14:textId="77777777" w:rsidR="00CA6399" w:rsidRPr="00D833E0" w:rsidRDefault="00CA6399" w:rsidP="00B67B8E">
      <w:pPr>
        <w:spacing w:after="120"/>
        <w:ind w:left="1276"/>
        <w:jc w:val="both"/>
        <w:rPr>
          <w:bCs/>
          <w:sz w:val="22"/>
          <w:szCs w:val="22"/>
          <w:lang w:val="en-US"/>
        </w:rPr>
      </w:pPr>
      <w:r w:rsidRPr="00D833E0">
        <w:rPr>
          <w:bCs/>
          <w:sz w:val="22"/>
          <w:szCs w:val="22"/>
          <w:lang w:val="en-US"/>
        </w:rPr>
        <w:t>ht</w:t>
      </w:r>
      <w:hyperlink r:id="rId13" w:history="1">
        <w:r w:rsidRPr="00D833E0">
          <w:rPr>
            <w:rStyle w:val="Hyperlink"/>
            <w:bCs/>
            <w:sz w:val="22"/>
            <w:szCs w:val="22"/>
            <w:lang w:val="en-US"/>
          </w:rPr>
          <w:t>tps://international-partnerships.ec.europa.eu/knowledge-hub/communicating-and-ra</w:t>
        </w:r>
      </w:hyperlink>
      <w:r w:rsidRPr="00D833E0">
        <w:rPr>
          <w:bCs/>
          <w:sz w:val="22"/>
          <w:szCs w:val="22"/>
          <w:lang w:val="en-US"/>
        </w:rPr>
        <w:t xml:space="preserve">ising-eu-visibility-guidance-external-actions_en </w:t>
      </w:r>
    </w:p>
    <w:p w14:paraId="629D807A" w14:textId="0ED475C1" w:rsidR="001A72CD" w:rsidRPr="00D833E0" w:rsidRDefault="001A72CD" w:rsidP="00CA6399">
      <w:pPr>
        <w:spacing w:after="120"/>
        <w:ind w:left="1276" w:hanging="556"/>
        <w:jc w:val="both"/>
        <w:rPr>
          <w:b/>
          <w:bCs/>
          <w:sz w:val="22"/>
          <w:szCs w:val="22"/>
          <w:lang w:val="en-US"/>
        </w:rPr>
      </w:pPr>
    </w:p>
    <w:p w14:paraId="4F56A8C1" w14:textId="77777777" w:rsidR="001050EE" w:rsidRPr="006015D0" w:rsidRDefault="001050EE" w:rsidP="0042293E">
      <w:pPr>
        <w:spacing w:after="120"/>
        <w:ind w:left="1276" w:hanging="1276"/>
        <w:jc w:val="both"/>
        <w:rPr>
          <w:b/>
          <w:szCs w:val="24"/>
        </w:rPr>
      </w:pPr>
      <w:r>
        <w:rPr>
          <w:b/>
          <w:szCs w:val="24"/>
        </w:rPr>
        <w:t>Article 15</w:t>
      </w:r>
      <w:r>
        <w:tab/>
      </w:r>
      <w:r>
        <w:rPr>
          <w:b/>
          <w:szCs w:val="24"/>
        </w:rPr>
        <w:t>Garantie de bonne exécution</w:t>
      </w:r>
    </w:p>
    <w:p w14:paraId="4A94C52F" w14:textId="70EA9414" w:rsidR="001466DD" w:rsidRPr="00617532" w:rsidRDefault="001050EE" w:rsidP="0042293E">
      <w:pPr>
        <w:spacing w:after="120"/>
        <w:ind w:left="1276" w:hanging="709"/>
        <w:jc w:val="both"/>
        <w:rPr>
          <w:sz w:val="22"/>
          <w:szCs w:val="22"/>
        </w:rPr>
      </w:pPr>
      <w:r>
        <w:rPr>
          <w:bCs/>
          <w:sz w:val="22"/>
          <w:szCs w:val="22"/>
        </w:rPr>
        <w:t>15.1</w:t>
      </w:r>
      <w:r>
        <w:tab/>
      </w:r>
      <w:r w:rsidRPr="00617532">
        <w:rPr>
          <w:sz w:val="22"/>
          <w:szCs w:val="22"/>
        </w:rPr>
        <w:t xml:space="preserve">Le montant de la garantie de bonne exécution est fixé à </w:t>
      </w:r>
      <w:r w:rsidR="005532B6" w:rsidRPr="00617532">
        <w:rPr>
          <w:b/>
          <w:sz w:val="22"/>
          <w:szCs w:val="22"/>
        </w:rPr>
        <w:t>5%</w:t>
      </w:r>
      <w:r w:rsidRPr="00617532">
        <w:rPr>
          <w:sz w:val="22"/>
          <w:szCs w:val="22"/>
        </w:rPr>
        <w:t xml:space="preserve"> du montant du marché et de ses avenants éventuels. </w:t>
      </w:r>
    </w:p>
    <w:p w14:paraId="3A3739A5" w14:textId="21AA3EC7" w:rsidR="00E11172" w:rsidRPr="00617532" w:rsidRDefault="00E11172" w:rsidP="00533A18">
      <w:pPr>
        <w:spacing w:after="120"/>
        <w:ind w:left="567"/>
        <w:jc w:val="both"/>
        <w:rPr>
          <w:sz w:val="22"/>
          <w:szCs w:val="22"/>
        </w:rPr>
      </w:pPr>
    </w:p>
    <w:p w14:paraId="73AB30BA" w14:textId="77777777" w:rsidR="001050EE" w:rsidRPr="00617532" w:rsidRDefault="001050EE" w:rsidP="0042293E">
      <w:pPr>
        <w:spacing w:after="120"/>
        <w:ind w:left="1276" w:hanging="1276"/>
        <w:jc w:val="both"/>
        <w:rPr>
          <w:b/>
          <w:szCs w:val="24"/>
        </w:rPr>
      </w:pPr>
      <w:r w:rsidRPr="00617532">
        <w:rPr>
          <w:b/>
          <w:szCs w:val="24"/>
        </w:rPr>
        <w:t>Article 16</w:t>
      </w:r>
      <w:r w:rsidRPr="00617532">
        <w:tab/>
      </w:r>
      <w:r w:rsidRPr="00617532">
        <w:rPr>
          <w:b/>
        </w:rPr>
        <w:t>Responsabilité et assurances</w:t>
      </w:r>
    </w:p>
    <w:p w14:paraId="238C364B" w14:textId="691C8A42" w:rsidR="00C261B3" w:rsidRPr="00617532" w:rsidRDefault="00C261B3" w:rsidP="00533A18">
      <w:pPr>
        <w:tabs>
          <w:tab w:val="left" w:pos="1276"/>
        </w:tabs>
        <w:spacing w:after="120"/>
        <w:ind w:left="1276" w:hanging="992"/>
        <w:jc w:val="both"/>
        <w:rPr>
          <w:sz w:val="22"/>
          <w:szCs w:val="22"/>
        </w:rPr>
      </w:pPr>
      <w:r w:rsidRPr="00617532">
        <w:rPr>
          <w:sz w:val="22"/>
          <w:szCs w:val="22"/>
        </w:rPr>
        <w:t>16.1 a)</w:t>
      </w:r>
      <w:r w:rsidRPr="00617532">
        <w:tab/>
      </w:r>
      <w:r w:rsidR="001466DD" w:rsidRPr="00617532">
        <w:rPr>
          <w:sz w:val="22"/>
          <w:szCs w:val="22"/>
        </w:rPr>
        <w:t xml:space="preserve">En dérogation à l’article 16, paragraphe 1, point a), deuxième alinéa, des conditions générales, l’indemnisation des dommages aux travaux issus de la responsabilité du contractant à l’égard du maître d’ouvrage est plafonnée à un montant égal à </w:t>
      </w:r>
      <w:r w:rsidR="00B67B8E" w:rsidRPr="00617532">
        <w:rPr>
          <w:sz w:val="22"/>
          <w:szCs w:val="22"/>
        </w:rPr>
        <w:t xml:space="preserve">la </w:t>
      </w:r>
      <w:r w:rsidR="001466DD" w:rsidRPr="00617532">
        <w:rPr>
          <w:sz w:val="22"/>
          <w:szCs w:val="22"/>
        </w:rPr>
        <w:t>valeur du marché</w:t>
      </w:r>
      <w:r w:rsidR="0077002C" w:rsidRPr="00617532">
        <w:rPr>
          <w:sz w:val="22"/>
          <w:szCs w:val="22"/>
        </w:rPr>
        <w:t xml:space="preserve">. </w:t>
      </w:r>
    </w:p>
    <w:p w14:paraId="3763A166" w14:textId="4A7B8559" w:rsidR="00C261B3" w:rsidRPr="00617532" w:rsidRDefault="00F2670B" w:rsidP="00533A18">
      <w:pPr>
        <w:tabs>
          <w:tab w:val="left" w:pos="1276"/>
        </w:tabs>
        <w:spacing w:after="120"/>
        <w:ind w:left="1276" w:hanging="992"/>
        <w:jc w:val="both"/>
        <w:rPr>
          <w:sz w:val="22"/>
          <w:szCs w:val="22"/>
        </w:rPr>
      </w:pPr>
      <w:r w:rsidRPr="00617532">
        <w:rPr>
          <w:sz w:val="22"/>
          <w:szCs w:val="22"/>
        </w:rPr>
        <w:t>16.1 b)</w:t>
      </w:r>
      <w:r w:rsidRPr="00617532">
        <w:tab/>
      </w:r>
      <w:r w:rsidR="00601A8C" w:rsidRPr="00617532">
        <w:rPr>
          <w:sz w:val="22"/>
          <w:szCs w:val="22"/>
        </w:rPr>
        <w:t>En dérogation à l’article 16, paragraphe 1, point b), deuxième alinéa, des conditions générales, l’indemnisation des dommages issus de la responsabilité du contractant à l’égard du maître d’ouvrage est plafonnée à un montant égal à la valeur du marché.</w:t>
      </w:r>
    </w:p>
    <w:p w14:paraId="4E9BE773" w14:textId="77777777" w:rsidR="001050EE" w:rsidRPr="00617532" w:rsidRDefault="001050EE" w:rsidP="0042293E">
      <w:pPr>
        <w:spacing w:after="120"/>
        <w:ind w:left="1276" w:hanging="1276"/>
        <w:jc w:val="both"/>
        <w:rPr>
          <w:b/>
          <w:szCs w:val="24"/>
        </w:rPr>
      </w:pPr>
      <w:r w:rsidRPr="00617532">
        <w:rPr>
          <w:b/>
          <w:szCs w:val="24"/>
        </w:rPr>
        <w:t>Article 17</w:t>
      </w:r>
      <w:r w:rsidRPr="00617532">
        <w:tab/>
      </w:r>
      <w:r w:rsidRPr="00617532">
        <w:rPr>
          <w:b/>
          <w:szCs w:val="24"/>
        </w:rPr>
        <w:t>Programme de mise en œuvre des tâches</w:t>
      </w:r>
    </w:p>
    <w:p w14:paraId="264E6F8B" w14:textId="54827038" w:rsidR="00BD50F8" w:rsidRPr="00BD50F8" w:rsidRDefault="00BD50F8" w:rsidP="00BD50F8">
      <w:pPr>
        <w:tabs>
          <w:tab w:val="left" w:pos="1276"/>
        </w:tabs>
        <w:spacing w:after="120"/>
        <w:ind w:left="1276" w:hanging="992"/>
        <w:jc w:val="both"/>
        <w:rPr>
          <w:sz w:val="22"/>
          <w:szCs w:val="22"/>
        </w:rPr>
      </w:pPr>
      <w:r w:rsidRPr="00BD50F8">
        <w:rPr>
          <w:sz w:val="22"/>
          <w:szCs w:val="22"/>
        </w:rPr>
        <w:t xml:space="preserve">17.1 </w:t>
      </w:r>
      <w:r w:rsidRPr="00BD50F8">
        <w:rPr>
          <w:sz w:val="22"/>
          <w:szCs w:val="22"/>
        </w:rPr>
        <w:tab/>
        <w:t xml:space="preserve">En dérogation à l’article 17, paragraphe 1, le délai accordé au contractant pour présenter </w:t>
      </w:r>
      <w:r w:rsidRPr="00BD50F8">
        <w:rPr>
          <w:sz w:val="22"/>
          <w:szCs w:val="22"/>
        </w:rPr>
        <w:br/>
        <w:t xml:space="preserve">le programme de mise en œuvre des tâches, détaillé par activité et par mois, est fixé à </w:t>
      </w:r>
      <w:r w:rsidRPr="00D64598">
        <w:rPr>
          <w:b/>
          <w:sz w:val="22"/>
          <w:szCs w:val="22"/>
        </w:rPr>
        <w:t>QUINZE (15)</w:t>
      </w:r>
      <w:r w:rsidRPr="00BD50F8">
        <w:rPr>
          <w:sz w:val="22"/>
          <w:szCs w:val="22"/>
        </w:rPr>
        <w:t xml:space="preserve"> jours à compter de la notification de l’Ordre de Service de commencer les travaux. Ce document sera remis en deux (02) exemplaires imprimés et en une version électronique.</w:t>
      </w:r>
    </w:p>
    <w:p w14:paraId="2A19E756" w14:textId="32946730" w:rsidR="00BD50F8" w:rsidRPr="00BD50F8" w:rsidRDefault="00BD50F8" w:rsidP="00BD50F8">
      <w:pPr>
        <w:spacing w:after="120"/>
        <w:ind w:left="1276"/>
        <w:jc w:val="both"/>
        <w:rPr>
          <w:sz w:val="22"/>
          <w:szCs w:val="22"/>
        </w:rPr>
      </w:pPr>
      <w:bookmarkStart w:id="1" w:name="_Hlk120636443"/>
      <w:r w:rsidRPr="00BD50F8">
        <w:rPr>
          <w:sz w:val="22"/>
          <w:szCs w:val="22"/>
        </w:rPr>
        <w:t xml:space="preserve">En complément des dispositions des conditions générales, il est précisé que : </w:t>
      </w:r>
      <w:bookmarkEnd w:id="1"/>
    </w:p>
    <w:p w14:paraId="3ECC9ECA" w14:textId="77777777" w:rsidR="00BD50F8" w:rsidRPr="00BD50F8" w:rsidRDefault="00BD50F8" w:rsidP="00BD50F8">
      <w:pPr>
        <w:spacing w:after="120"/>
        <w:ind w:left="1276"/>
        <w:jc w:val="both"/>
        <w:rPr>
          <w:sz w:val="22"/>
          <w:szCs w:val="22"/>
        </w:rPr>
      </w:pPr>
      <w:r w:rsidRPr="00BD50F8">
        <w:rPr>
          <w:sz w:val="22"/>
          <w:szCs w:val="22"/>
        </w:rPr>
        <w:t>a) « L’ordre dans lequel le contractant propose d’exécuter les travaux par mois et par nature » indiquera notamment les prévisions d’effectifs et d’approvisionnement en matériels, matériaux, eau, etc.</w:t>
      </w:r>
    </w:p>
    <w:p w14:paraId="4AF48F56" w14:textId="77777777" w:rsidR="00BD50F8" w:rsidRPr="00BD50F8" w:rsidRDefault="00BD50F8" w:rsidP="00BD50F8">
      <w:pPr>
        <w:spacing w:after="120"/>
        <w:ind w:left="1276"/>
        <w:jc w:val="both"/>
        <w:rPr>
          <w:sz w:val="22"/>
          <w:szCs w:val="22"/>
        </w:rPr>
      </w:pPr>
      <w:r w:rsidRPr="00BD50F8">
        <w:rPr>
          <w:sz w:val="22"/>
          <w:szCs w:val="22"/>
        </w:rPr>
        <w:t>d) la « Description des méthodes » inclut notamment le Plan d’Assurance de la Qualité (PAQ) et le Plan de Gestion de l’Environnement et du Site (PGES)</w:t>
      </w:r>
    </w:p>
    <w:p w14:paraId="232BBBEC" w14:textId="77777777" w:rsidR="00BD50F8" w:rsidRPr="00BD50F8" w:rsidRDefault="00BD50F8" w:rsidP="00BD50F8">
      <w:pPr>
        <w:spacing w:after="120"/>
        <w:ind w:left="1276"/>
        <w:jc w:val="both"/>
        <w:rPr>
          <w:sz w:val="22"/>
          <w:szCs w:val="22"/>
        </w:rPr>
      </w:pPr>
      <w:r w:rsidRPr="00BD50F8">
        <w:rPr>
          <w:sz w:val="22"/>
          <w:szCs w:val="22"/>
        </w:rPr>
        <w:lastRenderedPageBreak/>
        <w:t>e) le « projet d’installation et d’organisation du chantier » doit préciser la localisation de la base vie respectant les mesures prescrites dans le document de sauvegarde et les clauses environnementales et sociales ;</w:t>
      </w:r>
    </w:p>
    <w:p w14:paraId="5FD512DE" w14:textId="7D114D4A" w:rsidR="00BD50F8" w:rsidRDefault="00BD50F8" w:rsidP="00BD50F8">
      <w:pPr>
        <w:tabs>
          <w:tab w:val="left" w:pos="1276"/>
        </w:tabs>
        <w:spacing w:after="120"/>
        <w:ind w:left="1276" w:hanging="992"/>
        <w:jc w:val="both"/>
        <w:rPr>
          <w:sz w:val="22"/>
          <w:szCs w:val="22"/>
        </w:rPr>
      </w:pPr>
      <w:r w:rsidRPr="00BD50F8">
        <w:rPr>
          <w:sz w:val="22"/>
          <w:szCs w:val="22"/>
        </w:rPr>
        <w:t xml:space="preserve">17.5 </w:t>
      </w:r>
      <w:r w:rsidRPr="00BD50F8">
        <w:rPr>
          <w:sz w:val="22"/>
          <w:szCs w:val="22"/>
        </w:rPr>
        <w:tab/>
        <w:t xml:space="preserve">En complément des dispositions des conditions générales, les retards dans la mise en œuvre des tâches doivent obligatoirement être expliqués et notifiés par écrit au maître d’œuvre avec un programme révisé en conséquence. Le Maître d’ouvrage et la Délégation de l’Union européenne doivent en être mis en copie. </w:t>
      </w:r>
    </w:p>
    <w:p w14:paraId="1BCEFEDB" w14:textId="0B3A8F48" w:rsidR="00BD50F8" w:rsidRDefault="00BD50F8" w:rsidP="00BD50F8">
      <w:pPr>
        <w:tabs>
          <w:tab w:val="left" w:pos="1276"/>
        </w:tabs>
        <w:spacing w:after="120"/>
        <w:ind w:left="1276" w:hanging="992"/>
        <w:jc w:val="both"/>
        <w:rPr>
          <w:sz w:val="22"/>
          <w:szCs w:val="22"/>
        </w:rPr>
      </w:pPr>
    </w:p>
    <w:p w14:paraId="609777D3" w14:textId="0B66C687" w:rsidR="00BD50F8" w:rsidRDefault="00BD50F8" w:rsidP="00BD50F8">
      <w:pPr>
        <w:spacing w:after="120"/>
        <w:ind w:left="1276" w:hanging="1276"/>
        <w:jc w:val="both"/>
        <w:rPr>
          <w:b/>
          <w:szCs w:val="24"/>
        </w:rPr>
      </w:pPr>
      <w:r w:rsidRPr="00BD50F8">
        <w:rPr>
          <w:b/>
          <w:szCs w:val="24"/>
        </w:rPr>
        <w:t xml:space="preserve">Article 19 </w:t>
      </w:r>
      <w:r>
        <w:rPr>
          <w:b/>
          <w:szCs w:val="24"/>
        </w:rPr>
        <w:t xml:space="preserve">    </w:t>
      </w:r>
      <w:r w:rsidRPr="00BD50F8">
        <w:rPr>
          <w:b/>
          <w:szCs w:val="24"/>
        </w:rPr>
        <w:t>Plans et études d’exécution du contractant</w:t>
      </w:r>
    </w:p>
    <w:p w14:paraId="0DE80495" w14:textId="77777777" w:rsidR="00BD50F8" w:rsidRPr="0082560E" w:rsidRDefault="00BD50F8" w:rsidP="00BD50F8">
      <w:pPr>
        <w:spacing w:before="120" w:after="120"/>
        <w:ind w:left="1276" w:hanging="709"/>
        <w:jc w:val="both"/>
        <w:rPr>
          <w:sz w:val="22"/>
          <w:szCs w:val="22"/>
        </w:rPr>
      </w:pPr>
      <w:r>
        <w:rPr>
          <w:bCs/>
          <w:sz w:val="22"/>
          <w:szCs w:val="22"/>
        </w:rPr>
        <w:t>19.1</w:t>
      </w:r>
      <w:r>
        <w:tab/>
      </w:r>
      <w:r>
        <w:rPr>
          <w:sz w:val="22"/>
          <w:szCs w:val="22"/>
        </w:rPr>
        <w:t>Le contractant</w:t>
      </w:r>
      <w:r w:rsidRPr="0082560E">
        <w:rPr>
          <w:sz w:val="22"/>
          <w:szCs w:val="22"/>
        </w:rPr>
        <w:t xml:space="preserve"> établira à ses frais et soumettra à l'agrément du maître d’œuvre </w:t>
      </w:r>
      <w:r>
        <w:rPr>
          <w:sz w:val="22"/>
          <w:szCs w:val="22"/>
        </w:rPr>
        <w:t>ou à</w:t>
      </w:r>
      <w:r w:rsidRPr="0082560E">
        <w:rPr>
          <w:sz w:val="22"/>
          <w:szCs w:val="22"/>
        </w:rPr>
        <w:t xml:space="preserve"> son représentant, les différents projets d'exécution avec plans, dessins, métrés et toutes autres justifications utiles, avant commencement des travaux correspondants. Chaque projet d'exécution sera fourni en CINQ (</w:t>
      </w:r>
      <w:r>
        <w:rPr>
          <w:sz w:val="22"/>
          <w:szCs w:val="22"/>
        </w:rPr>
        <w:t>0</w:t>
      </w:r>
      <w:r w:rsidRPr="0082560E">
        <w:rPr>
          <w:sz w:val="22"/>
          <w:szCs w:val="22"/>
        </w:rPr>
        <w:t>5) exemplaires dont DEUX (</w:t>
      </w:r>
      <w:r>
        <w:rPr>
          <w:sz w:val="22"/>
          <w:szCs w:val="22"/>
        </w:rPr>
        <w:t>0</w:t>
      </w:r>
      <w:r w:rsidRPr="0082560E">
        <w:rPr>
          <w:sz w:val="22"/>
          <w:szCs w:val="22"/>
        </w:rPr>
        <w:t>2) seront retournés au contractant par Ordre de Service après visa.</w:t>
      </w:r>
    </w:p>
    <w:p w14:paraId="190479E2" w14:textId="77777777" w:rsidR="00BD50F8" w:rsidRPr="0082560E" w:rsidRDefault="00BD50F8" w:rsidP="00BD50F8">
      <w:pPr>
        <w:spacing w:before="120" w:after="120"/>
        <w:ind w:left="1276"/>
        <w:jc w:val="both"/>
        <w:rPr>
          <w:sz w:val="22"/>
          <w:szCs w:val="22"/>
        </w:rPr>
      </w:pPr>
      <w:r w:rsidRPr="0082560E">
        <w:rPr>
          <w:sz w:val="22"/>
          <w:szCs w:val="22"/>
        </w:rPr>
        <w:t>L’exécution des travaux ne sera autorisée sans des documents d’exécution approuvés avec l’apposition par le maître d’œuvre d’un BON POUR EXECUTION.</w:t>
      </w:r>
    </w:p>
    <w:p w14:paraId="5BC49DF4" w14:textId="77777777" w:rsidR="00BD50F8" w:rsidRPr="0082560E" w:rsidRDefault="00BD50F8" w:rsidP="00BD50F8">
      <w:pPr>
        <w:spacing w:before="120" w:after="120"/>
        <w:ind w:left="1276"/>
        <w:jc w:val="both"/>
        <w:rPr>
          <w:sz w:val="22"/>
          <w:szCs w:val="22"/>
        </w:rPr>
      </w:pPr>
      <w:r>
        <w:rPr>
          <w:sz w:val="22"/>
          <w:szCs w:val="22"/>
        </w:rPr>
        <w:t>Le contractant</w:t>
      </w:r>
      <w:r w:rsidRPr="0082560E">
        <w:rPr>
          <w:sz w:val="22"/>
          <w:szCs w:val="22"/>
        </w:rPr>
        <w:t xml:space="preserve"> devra prendre toutes dispositions pour présenter ces projets en temps voulu pour assurer la continuité des travaux étant entendu que </w:t>
      </w:r>
      <w:r>
        <w:rPr>
          <w:sz w:val="22"/>
          <w:szCs w:val="22"/>
        </w:rPr>
        <w:t xml:space="preserve">le Maître d’œuvre </w:t>
      </w:r>
      <w:r w:rsidRPr="0082560E">
        <w:rPr>
          <w:sz w:val="22"/>
          <w:szCs w:val="22"/>
        </w:rPr>
        <w:t>disposera d'un délai de VINGT (20) jours pour viser chaque document ou faire connaître ses observations et les modifications éventuelles à y apporter et que, quelles que soient ces modifications, le délai contractuel d’exécution demeure inchangé ainsi que la responsabilité d'exécution d</w:t>
      </w:r>
      <w:r>
        <w:rPr>
          <w:sz w:val="22"/>
          <w:szCs w:val="22"/>
        </w:rPr>
        <w:t>u contractant</w:t>
      </w:r>
      <w:r w:rsidRPr="0082560E">
        <w:rPr>
          <w:sz w:val="22"/>
          <w:szCs w:val="22"/>
        </w:rPr>
        <w:t>. Passé ce délai, le visa d</w:t>
      </w:r>
      <w:r>
        <w:rPr>
          <w:sz w:val="22"/>
          <w:szCs w:val="22"/>
        </w:rPr>
        <w:t xml:space="preserve">u Maître d’œuvre </w:t>
      </w:r>
      <w:r w:rsidRPr="0082560E">
        <w:rPr>
          <w:sz w:val="22"/>
          <w:szCs w:val="22"/>
        </w:rPr>
        <w:t>sera censé être acquis.</w:t>
      </w:r>
    </w:p>
    <w:p w14:paraId="20EC8517" w14:textId="77777777" w:rsidR="00BD50F8" w:rsidRDefault="00BD50F8" w:rsidP="00BD50F8">
      <w:pPr>
        <w:spacing w:before="120" w:after="120"/>
        <w:ind w:left="1276"/>
        <w:jc w:val="both"/>
        <w:rPr>
          <w:sz w:val="22"/>
          <w:szCs w:val="22"/>
        </w:rPr>
      </w:pPr>
      <w:r w:rsidRPr="0082560E">
        <w:rPr>
          <w:sz w:val="22"/>
          <w:szCs w:val="22"/>
        </w:rPr>
        <w:t xml:space="preserve">Dans le cas d'un second examen après modification, </w:t>
      </w:r>
      <w:r>
        <w:rPr>
          <w:sz w:val="22"/>
          <w:szCs w:val="22"/>
        </w:rPr>
        <w:t xml:space="preserve">le Maître d’œuvre </w:t>
      </w:r>
      <w:r w:rsidRPr="0082560E">
        <w:rPr>
          <w:sz w:val="22"/>
          <w:szCs w:val="22"/>
        </w:rPr>
        <w:t>disposera d'un délai de DIX (10) jours pour donner son visa. Passé ce dé</w:t>
      </w:r>
      <w:r>
        <w:rPr>
          <w:sz w:val="22"/>
          <w:szCs w:val="22"/>
        </w:rPr>
        <w:t>lai, le visa sera censé acquis.</w:t>
      </w:r>
    </w:p>
    <w:p w14:paraId="4E0B14FF" w14:textId="7B99670F" w:rsidR="001050EE" w:rsidRPr="00617532" w:rsidRDefault="001050EE" w:rsidP="00BD575B">
      <w:pPr>
        <w:spacing w:after="120"/>
        <w:ind w:left="1276"/>
        <w:jc w:val="both"/>
        <w:rPr>
          <w:sz w:val="22"/>
          <w:szCs w:val="22"/>
        </w:rPr>
      </w:pPr>
    </w:p>
    <w:p w14:paraId="3B88A1B1" w14:textId="77777777" w:rsidR="001050EE" w:rsidRPr="00617532" w:rsidRDefault="001050EE" w:rsidP="0042293E">
      <w:pPr>
        <w:spacing w:after="120"/>
        <w:ind w:left="1276" w:hanging="1276"/>
        <w:jc w:val="both"/>
        <w:rPr>
          <w:b/>
          <w:szCs w:val="24"/>
        </w:rPr>
      </w:pPr>
      <w:r w:rsidRPr="00617532">
        <w:rPr>
          <w:b/>
          <w:szCs w:val="24"/>
        </w:rPr>
        <w:t>Article 21</w:t>
      </w:r>
      <w:r w:rsidRPr="00617532">
        <w:tab/>
      </w:r>
      <w:r w:rsidRPr="00617532">
        <w:rPr>
          <w:b/>
          <w:szCs w:val="24"/>
        </w:rPr>
        <w:t>Risques exceptionnels</w:t>
      </w:r>
    </w:p>
    <w:p w14:paraId="3A8DC259" w14:textId="77777777" w:rsidR="00F82359" w:rsidRPr="00617532" w:rsidRDefault="009E24C9" w:rsidP="00F82359">
      <w:pPr>
        <w:spacing w:after="120"/>
        <w:ind w:left="1276" w:hanging="709"/>
        <w:jc w:val="both"/>
        <w:rPr>
          <w:sz w:val="22"/>
          <w:szCs w:val="22"/>
        </w:rPr>
      </w:pPr>
      <w:r w:rsidRPr="00617532">
        <w:rPr>
          <w:sz w:val="22"/>
          <w:szCs w:val="22"/>
        </w:rPr>
        <w:t>21.4</w:t>
      </w:r>
      <w:r w:rsidRPr="00617532">
        <w:tab/>
      </w:r>
      <w:r w:rsidR="00D435BD" w:rsidRPr="00617532">
        <w:rPr>
          <w:snapToGrid/>
          <w:sz w:val="22"/>
          <w:szCs w:val="24"/>
          <w:lang w:eastAsia="fr-FR"/>
        </w:rPr>
        <w:t xml:space="preserve"> </w:t>
      </w:r>
      <w:r w:rsidR="00F82359" w:rsidRPr="00617532">
        <w:rPr>
          <w:sz w:val="22"/>
          <w:szCs w:val="22"/>
        </w:rPr>
        <w:t>Le Titulaire ne pourra invoquer le cas de force majeure pour conditions météorologiques exceptionnelles que dans l’un des cas suivants :</w:t>
      </w:r>
    </w:p>
    <w:p w14:paraId="6B65B110" w14:textId="77777777" w:rsidR="00F82359" w:rsidRPr="00617532" w:rsidRDefault="00F82359" w:rsidP="00F82359">
      <w:pPr>
        <w:numPr>
          <w:ilvl w:val="0"/>
          <w:numId w:val="30"/>
        </w:numPr>
        <w:spacing w:after="120"/>
        <w:ind w:left="1985" w:hanging="284"/>
        <w:jc w:val="both"/>
        <w:rPr>
          <w:sz w:val="22"/>
          <w:szCs w:val="22"/>
        </w:rPr>
      </w:pPr>
      <w:r w:rsidRPr="00617532">
        <w:rPr>
          <w:sz w:val="22"/>
          <w:szCs w:val="22"/>
        </w:rPr>
        <w:t>Vents : si les vents enregistrés dépassent cent vingt (120) kilomètres à l’heure, la période d’application ne portera que sur les journées où aurait été observé le vent dépassant cette vitesse au moins une fois dans la journée.</w:t>
      </w:r>
    </w:p>
    <w:p w14:paraId="37469FC2" w14:textId="77777777" w:rsidR="00F82359" w:rsidRPr="00617532" w:rsidRDefault="00F82359" w:rsidP="00F82359">
      <w:pPr>
        <w:numPr>
          <w:ilvl w:val="0"/>
          <w:numId w:val="30"/>
        </w:numPr>
        <w:spacing w:after="120"/>
        <w:ind w:left="1985" w:hanging="284"/>
        <w:jc w:val="both"/>
        <w:rPr>
          <w:sz w:val="22"/>
          <w:szCs w:val="22"/>
        </w:rPr>
      </w:pPr>
      <w:r w:rsidRPr="00617532">
        <w:rPr>
          <w:sz w:val="22"/>
          <w:szCs w:val="22"/>
        </w:rPr>
        <w:t>Pluies : si durant une période de trente (30) jours consécutifs les deux conditions suivantes sont constatées :</w:t>
      </w:r>
    </w:p>
    <w:p w14:paraId="2B6BB383" w14:textId="77777777" w:rsidR="00F82359" w:rsidRPr="00617532" w:rsidRDefault="00F82359" w:rsidP="00F82359">
      <w:pPr>
        <w:spacing w:after="120"/>
        <w:ind w:left="2835" w:hanging="283"/>
        <w:jc w:val="both"/>
        <w:rPr>
          <w:sz w:val="22"/>
          <w:szCs w:val="22"/>
        </w:rPr>
      </w:pPr>
      <w:r w:rsidRPr="00617532">
        <w:rPr>
          <w:sz w:val="22"/>
          <w:szCs w:val="22"/>
        </w:rPr>
        <w:t>1.</w:t>
      </w:r>
      <w:r w:rsidRPr="00617532">
        <w:rPr>
          <w:sz w:val="22"/>
          <w:szCs w:val="22"/>
        </w:rPr>
        <w:tab/>
        <w:t>plus de dix (10) jours enregistrant une précipitation en 24 heures supérieure à quatorze (14) millimètres ;</w:t>
      </w:r>
    </w:p>
    <w:p w14:paraId="5DD280DB" w14:textId="77777777" w:rsidR="00F82359" w:rsidRPr="00617532" w:rsidRDefault="00F82359" w:rsidP="00F82359">
      <w:pPr>
        <w:spacing w:after="120"/>
        <w:ind w:left="2835" w:hanging="283"/>
        <w:jc w:val="both"/>
        <w:rPr>
          <w:sz w:val="22"/>
          <w:szCs w:val="22"/>
        </w:rPr>
      </w:pPr>
      <w:r w:rsidRPr="00617532">
        <w:rPr>
          <w:sz w:val="22"/>
          <w:szCs w:val="22"/>
        </w:rPr>
        <w:t>2.</w:t>
      </w:r>
      <w:r w:rsidRPr="00617532">
        <w:rPr>
          <w:sz w:val="22"/>
          <w:szCs w:val="22"/>
        </w:rPr>
        <w:tab/>
        <w:t>valeur moyenne de dix (10) plus fortes précipitations en 24 heures supérieures à vingt (20) millimètres.</w:t>
      </w:r>
    </w:p>
    <w:p w14:paraId="6FA62A59" w14:textId="77777777" w:rsidR="00F82359" w:rsidRPr="00AA5507" w:rsidRDefault="00F82359" w:rsidP="00F82359">
      <w:pPr>
        <w:numPr>
          <w:ilvl w:val="0"/>
          <w:numId w:val="30"/>
        </w:numPr>
        <w:spacing w:after="120"/>
        <w:ind w:left="1985" w:hanging="284"/>
        <w:jc w:val="both"/>
        <w:rPr>
          <w:sz w:val="22"/>
          <w:szCs w:val="22"/>
        </w:rPr>
      </w:pPr>
      <w:r w:rsidRPr="00617532">
        <w:rPr>
          <w:sz w:val="22"/>
          <w:szCs w:val="22"/>
        </w:rPr>
        <w:t>L’alerte rouge est déclarée par le Bureau National de Gestion des Risques et Catastrophes (BNGRC) en cas de fort cyclone tropical</w:t>
      </w:r>
    </w:p>
    <w:p w14:paraId="54B37B89" w14:textId="77777777" w:rsidR="00F82359" w:rsidRDefault="00F82359" w:rsidP="00F82359">
      <w:pPr>
        <w:spacing w:before="120" w:after="120"/>
        <w:ind w:left="1276"/>
        <w:jc w:val="both"/>
        <w:rPr>
          <w:sz w:val="22"/>
          <w:szCs w:val="22"/>
        </w:rPr>
      </w:pPr>
      <w:r w:rsidRPr="00AA5507">
        <w:rPr>
          <w:sz w:val="22"/>
          <w:szCs w:val="22"/>
        </w:rPr>
        <w:t xml:space="preserve">Les valeurs à considérer sont celles enregistrés par le laboratoire commun ou, à défaut, </w:t>
      </w:r>
      <w:r>
        <w:rPr>
          <w:sz w:val="22"/>
          <w:szCs w:val="22"/>
        </w:rPr>
        <w:br/>
      </w:r>
      <w:r w:rsidRPr="00AA5507">
        <w:rPr>
          <w:sz w:val="22"/>
          <w:szCs w:val="22"/>
        </w:rPr>
        <w:t>par la s</w:t>
      </w:r>
      <w:r>
        <w:rPr>
          <w:sz w:val="22"/>
          <w:szCs w:val="22"/>
        </w:rPr>
        <w:t>tation</w:t>
      </w:r>
      <w:r w:rsidRPr="00AA5507">
        <w:rPr>
          <w:sz w:val="22"/>
          <w:szCs w:val="22"/>
        </w:rPr>
        <w:t xml:space="preserve"> météorologique la plus proche.</w:t>
      </w:r>
    </w:p>
    <w:p w14:paraId="0497237F" w14:textId="77777777" w:rsidR="00F82359" w:rsidRDefault="00F82359" w:rsidP="00F82359">
      <w:pPr>
        <w:spacing w:before="120" w:after="120"/>
        <w:ind w:left="1276"/>
        <w:jc w:val="both"/>
        <w:rPr>
          <w:sz w:val="22"/>
          <w:szCs w:val="22"/>
        </w:rPr>
      </w:pPr>
      <w:r>
        <w:rPr>
          <w:sz w:val="22"/>
          <w:szCs w:val="22"/>
        </w:rPr>
        <w:t>Afin de gérer les micros climats sur les sites de travaux, la mise en place, lecture et exploitation d’au moins 1 pluviomètre par périmètre ou zone du canal est à prévoir par le soumissionnaire dans son offre.</w:t>
      </w:r>
    </w:p>
    <w:p w14:paraId="353961C1" w14:textId="77777777" w:rsidR="00F82359" w:rsidRPr="00986AB6" w:rsidRDefault="00F82359" w:rsidP="00F82359">
      <w:pPr>
        <w:spacing w:before="120" w:after="120"/>
        <w:ind w:left="1276" w:hanging="709"/>
        <w:jc w:val="both"/>
        <w:rPr>
          <w:sz w:val="22"/>
          <w:szCs w:val="22"/>
        </w:rPr>
      </w:pPr>
      <w:r>
        <w:rPr>
          <w:sz w:val="22"/>
        </w:rPr>
        <w:lastRenderedPageBreak/>
        <w:t xml:space="preserve">21.5 </w:t>
      </w:r>
      <w:r>
        <w:rPr>
          <w:sz w:val="22"/>
        </w:rPr>
        <w:tab/>
      </w:r>
      <w:r w:rsidRPr="00CE100A">
        <w:rPr>
          <w:sz w:val="22"/>
        </w:rPr>
        <w:t>Les périodes de démarrage et achèvement des travaux seront probablement situées dans des périodes</w:t>
      </w:r>
      <w:r w:rsidRPr="00986AB6">
        <w:rPr>
          <w:sz w:val="22"/>
          <w:szCs w:val="22"/>
        </w:rPr>
        <w:t xml:space="preserve"> pluvieuses En effet, le soumissionnaire doit :</w:t>
      </w:r>
    </w:p>
    <w:p w14:paraId="7567FFCD" w14:textId="77777777" w:rsidR="00F82359" w:rsidRPr="00986AB6" w:rsidRDefault="00F82359" w:rsidP="00F82359">
      <w:pPr>
        <w:numPr>
          <w:ilvl w:val="0"/>
          <w:numId w:val="37"/>
        </w:numPr>
        <w:spacing w:before="120" w:after="120"/>
        <w:ind w:left="1888" w:hanging="187"/>
        <w:jc w:val="both"/>
        <w:rPr>
          <w:sz w:val="22"/>
          <w:szCs w:val="22"/>
        </w:rPr>
      </w:pPr>
      <w:r w:rsidRPr="00CE100A">
        <w:rPr>
          <w:sz w:val="22"/>
          <w:szCs w:val="22"/>
        </w:rPr>
        <w:t>prendre</w:t>
      </w:r>
      <w:r w:rsidRPr="00986AB6">
        <w:rPr>
          <w:sz w:val="22"/>
          <w:szCs w:val="22"/>
        </w:rPr>
        <w:t xml:space="preserve"> toutes les dispositions pour la protection des matériaux lors des transports vers les sites de travaux ;</w:t>
      </w:r>
    </w:p>
    <w:p w14:paraId="31CD61BF" w14:textId="77777777" w:rsidR="00F82359" w:rsidRPr="00986AB6" w:rsidRDefault="00F82359" w:rsidP="00F82359">
      <w:pPr>
        <w:numPr>
          <w:ilvl w:val="0"/>
          <w:numId w:val="37"/>
        </w:numPr>
        <w:spacing w:before="120" w:after="120"/>
        <w:ind w:left="1888" w:hanging="187"/>
        <w:jc w:val="both"/>
        <w:rPr>
          <w:sz w:val="22"/>
          <w:szCs w:val="22"/>
        </w:rPr>
      </w:pPr>
      <w:r w:rsidRPr="00CE100A">
        <w:rPr>
          <w:sz w:val="22"/>
          <w:szCs w:val="22"/>
        </w:rPr>
        <w:t>prévoir</w:t>
      </w:r>
      <w:r w:rsidRPr="00986AB6">
        <w:rPr>
          <w:sz w:val="22"/>
          <w:szCs w:val="22"/>
        </w:rPr>
        <w:t xml:space="preserve"> un entreposage des matériaux volumineux et bien protégé ;</w:t>
      </w:r>
    </w:p>
    <w:p w14:paraId="2F2BA30C" w14:textId="77777777" w:rsidR="00F82359" w:rsidRPr="00986AB6" w:rsidRDefault="00F82359" w:rsidP="00F82359">
      <w:pPr>
        <w:numPr>
          <w:ilvl w:val="0"/>
          <w:numId w:val="37"/>
        </w:numPr>
        <w:spacing w:before="120" w:after="120"/>
        <w:ind w:left="1888" w:hanging="187"/>
        <w:jc w:val="both"/>
        <w:rPr>
          <w:sz w:val="22"/>
          <w:szCs w:val="22"/>
        </w:rPr>
      </w:pPr>
      <w:r w:rsidRPr="00CE100A">
        <w:rPr>
          <w:sz w:val="22"/>
          <w:szCs w:val="22"/>
        </w:rPr>
        <w:t>prévoir</w:t>
      </w:r>
      <w:r w:rsidRPr="00986AB6">
        <w:rPr>
          <w:sz w:val="22"/>
          <w:szCs w:val="22"/>
        </w:rPr>
        <w:t xml:space="preserve"> une cadence soutenue pour l’approvisionnement des matériaux durant la mise en œuvre des travaux ;</w:t>
      </w:r>
    </w:p>
    <w:p w14:paraId="381AC1DA" w14:textId="77777777" w:rsidR="00F82359" w:rsidRPr="00986AB6" w:rsidRDefault="00F82359" w:rsidP="00F82359">
      <w:pPr>
        <w:spacing w:before="120" w:after="120"/>
        <w:ind w:left="1276"/>
        <w:jc w:val="both"/>
        <w:rPr>
          <w:sz w:val="22"/>
          <w:szCs w:val="22"/>
        </w:rPr>
      </w:pPr>
      <w:r w:rsidRPr="00986AB6">
        <w:rPr>
          <w:sz w:val="22"/>
          <w:szCs w:val="22"/>
        </w:rPr>
        <w:t>L’arrêt des travaux pour raison de rupture de stock n’est pas acceptable et n’est pas considéré comme situation exceptionnelle.</w:t>
      </w:r>
    </w:p>
    <w:p w14:paraId="63BAF35F" w14:textId="77B0597A" w:rsidR="00D435BD" w:rsidRPr="00617532" w:rsidRDefault="00D435BD" w:rsidP="00F82359">
      <w:pPr>
        <w:spacing w:after="120"/>
        <w:ind w:left="1276" w:hanging="709"/>
        <w:jc w:val="both"/>
        <w:rPr>
          <w:sz w:val="22"/>
          <w:szCs w:val="22"/>
        </w:rPr>
      </w:pPr>
    </w:p>
    <w:p w14:paraId="551FAF92" w14:textId="2B5CDDBC" w:rsidR="001050EE" w:rsidRDefault="001050EE" w:rsidP="0042293E">
      <w:pPr>
        <w:spacing w:after="120"/>
        <w:ind w:left="1276" w:hanging="1276"/>
        <w:jc w:val="both"/>
        <w:rPr>
          <w:b/>
          <w:szCs w:val="24"/>
        </w:rPr>
      </w:pPr>
      <w:r w:rsidRPr="00617532">
        <w:rPr>
          <w:b/>
          <w:szCs w:val="24"/>
        </w:rPr>
        <w:t>Article 24</w:t>
      </w:r>
      <w:r w:rsidRPr="00617532">
        <w:tab/>
      </w:r>
      <w:r w:rsidRPr="00617532">
        <w:rPr>
          <w:b/>
          <w:szCs w:val="24"/>
        </w:rPr>
        <w:t>Entraves à la circulation</w:t>
      </w:r>
    </w:p>
    <w:p w14:paraId="70D7A808" w14:textId="77777777" w:rsidR="000D6181" w:rsidRPr="000D6181" w:rsidRDefault="000D6181" w:rsidP="000D6181">
      <w:pPr>
        <w:spacing w:after="120"/>
        <w:ind w:left="1276" w:hanging="709"/>
        <w:jc w:val="both"/>
        <w:rPr>
          <w:sz w:val="22"/>
          <w:szCs w:val="22"/>
        </w:rPr>
      </w:pPr>
      <w:r w:rsidRPr="000D6181">
        <w:rPr>
          <w:szCs w:val="24"/>
        </w:rPr>
        <w:t>24.1</w:t>
      </w:r>
      <w:r>
        <w:rPr>
          <w:b/>
          <w:szCs w:val="24"/>
        </w:rPr>
        <w:tab/>
      </w:r>
      <w:r w:rsidRPr="000D6181">
        <w:rPr>
          <w:sz w:val="22"/>
          <w:szCs w:val="22"/>
        </w:rPr>
        <w:t>Des mesures particulières devront être envisagées pour le maintien du trafic. Ces mesures, à proposer par le contractant, devront être en conformité avec les spécifications techniques et obtenir l’agrément du maître d’œuvre.</w:t>
      </w:r>
    </w:p>
    <w:p w14:paraId="1C5634D1" w14:textId="77777777" w:rsidR="000D6181" w:rsidRPr="000D6181" w:rsidRDefault="000D6181" w:rsidP="000D6181">
      <w:pPr>
        <w:spacing w:after="120"/>
        <w:ind w:left="1276"/>
        <w:jc w:val="both"/>
        <w:rPr>
          <w:sz w:val="22"/>
          <w:szCs w:val="22"/>
        </w:rPr>
      </w:pPr>
      <w:r w:rsidRPr="000D6181">
        <w:rPr>
          <w:sz w:val="22"/>
          <w:szCs w:val="22"/>
        </w:rPr>
        <w:t>Le contractant est réputé être informé de ces difficultés particulières et de l’indice possible sur le coût des réalisations ainsi que le planning d’exécution des travaux.</w:t>
      </w:r>
    </w:p>
    <w:p w14:paraId="24B33F07" w14:textId="79B90A84" w:rsidR="000D6181" w:rsidRDefault="00236C45" w:rsidP="00236C45">
      <w:pPr>
        <w:spacing w:after="120"/>
        <w:ind w:left="1276"/>
        <w:jc w:val="both"/>
        <w:rPr>
          <w:b/>
          <w:szCs w:val="24"/>
        </w:rPr>
      </w:pPr>
      <w:r w:rsidRPr="00986AB6">
        <w:rPr>
          <w:sz w:val="22"/>
        </w:rPr>
        <w:t>En complément des dispositions des conditions générales, il est précisé que</w:t>
      </w:r>
      <w:r w:rsidRPr="00CB5447">
        <w:rPr>
          <w:sz w:val="22"/>
          <w:szCs w:val="22"/>
        </w:rPr>
        <w:t xml:space="preserve"> le </w:t>
      </w:r>
      <w:r>
        <w:rPr>
          <w:sz w:val="22"/>
          <w:szCs w:val="22"/>
        </w:rPr>
        <w:t>contractant</w:t>
      </w:r>
      <w:r w:rsidRPr="00CB5447">
        <w:rPr>
          <w:sz w:val="22"/>
          <w:szCs w:val="22"/>
        </w:rPr>
        <w:t xml:space="preserve"> doit prendre toutes les dispositions pour le maintien de l’irrigation dans la mesure du possible</w:t>
      </w:r>
      <w:r>
        <w:rPr>
          <w:sz w:val="22"/>
          <w:szCs w:val="22"/>
        </w:rPr>
        <w:t xml:space="preserve"> sachant que l</w:t>
      </w:r>
      <w:r w:rsidRPr="00CB5447">
        <w:rPr>
          <w:sz w:val="22"/>
          <w:szCs w:val="22"/>
        </w:rPr>
        <w:t>es travaux sur les canaux se dérouleront durant la période d’irrigation du riz de contre saison</w:t>
      </w:r>
      <w:r>
        <w:rPr>
          <w:sz w:val="22"/>
          <w:szCs w:val="22"/>
        </w:rPr>
        <w:t>.</w:t>
      </w:r>
    </w:p>
    <w:p w14:paraId="3A01F731" w14:textId="77777777" w:rsidR="000D6181" w:rsidRPr="00D435BD" w:rsidRDefault="000D6181" w:rsidP="0042293E">
      <w:pPr>
        <w:spacing w:after="120"/>
        <w:ind w:left="1276" w:hanging="1276"/>
        <w:jc w:val="both"/>
        <w:rPr>
          <w:b/>
          <w:szCs w:val="24"/>
        </w:rPr>
      </w:pPr>
    </w:p>
    <w:p w14:paraId="2F65D8E8" w14:textId="705E561A" w:rsidR="000C0A36" w:rsidRPr="00617532" w:rsidRDefault="001050EE" w:rsidP="0042293E">
      <w:pPr>
        <w:spacing w:after="120"/>
        <w:ind w:left="1276" w:hanging="709"/>
        <w:jc w:val="both"/>
        <w:rPr>
          <w:sz w:val="22"/>
          <w:szCs w:val="22"/>
        </w:rPr>
      </w:pPr>
      <w:r>
        <w:rPr>
          <w:bCs/>
          <w:sz w:val="22"/>
          <w:szCs w:val="22"/>
        </w:rPr>
        <w:t>24.2</w:t>
      </w:r>
      <w:r>
        <w:tab/>
      </w:r>
      <w:r w:rsidR="000C0A36" w:rsidRPr="00617532">
        <w:rPr>
          <w:sz w:val="22"/>
          <w:szCs w:val="22"/>
        </w:rPr>
        <w:t>Lors de l’exécution des travaux, l’Entrepreneur doit (i) limiter la vitesse des véhicules sur le chantier par l’installation de panneaux de signalisation et des porteurs de drapeaux ; (ii) arroser régulièrement les voies de circulation dans les zones habitées (s’il s’agit de route en terre) ; (iii) prévoir des déviations par des pistes et routes existantes dans la mesure du possible. Dans les zones d'habitation, l’Entrepreneur doit établir l'horaire et l'itinéraire des véhicules lourds qui doivent circuler à l'extérieur des chantiers de façon à réduire les nuisances (bruit, poussière et congestion de la circulation) et le porter à l’approbation du Maître d’œuvre.</w:t>
      </w:r>
    </w:p>
    <w:p w14:paraId="713F1392" w14:textId="77777777" w:rsidR="000C0A36" w:rsidRPr="00617532" w:rsidRDefault="000C0A36" w:rsidP="0042293E">
      <w:pPr>
        <w:spacing w:after="120"/>
        <w:ind w:left="1276"/>
        <w:jc w:val="both"/>
        <w:rPr>
          <w:sz w:val="22"/>
          <w:szCs w:val="22"/>
        </w:rPr>
      </w:pPr>
      <w:r w:rsidRPr="00617532">
        <w:rPr>
          <w:sz w:val="22"/>
          <w:szCs w:val="22"/>
        </w:rPr>
        <w:t>Pour assurer l'ordre dans le trafic et la sécurité sur les routes, le sable, le ciment et les autres matériaux fins doivent être contenus hermétiquement durant le transport afin d'éviter l’envol de poussière et le déversement en cours de transport. Les matériaux contenant des particules fines doivent être recouverts d'une bâche fixée solidement.</w:t>
      </w:r>
    </w:p>
    <w:p w14:paraId="1BDEB955" w14:textId="77777777" w:rsidR="000C0A36" w:rsidRPr="00617532" w:rsidRDefault="000C0A36" w:rsidP="0042293E">
      <w:pPr>
        <w:spacing w:after="120"/>
        <w:ind w:left="1276"/>
        <w:jc w:val="both"/>
        <w:rPr>
          <w:sz w:val="22"/>
          <w:szCs w:val="22"/>
        </w:rPr>
      </w:pPr>
      <w:r w:rsidRPr="00617532">
        <w:rPr>
          <w:sz w:val="22"/>
          <w:szCs w:val="22"/>
        </w:rPr>
        <w:t>L’Entrepreneur doit prendre des protections spéciales (filets, bâches) contre les risques de projections, émanations et chutes d’objets.</w:t>
      </w:r>
    </w:p>
    <w:p w14:paraId="4A78BDEE" w14:textId="77777777" w:rsidR="000C0A36" w:rsidRPr="00617532" w:rsidRDefault="000C0A36" w:rsidP="0042293E">
      <w:pPr>
        <w:spacing w:after="120"/>
        <w:ind w:left="1276"/>
        <w:jc w:val="both"/>
        <w:rPr>
          <w:sz w:val="22"/>
          <w:szCs w:val="22"/>
        </w:rPr>
      </w:pPr>
      <w:r w:rsidRPr="00617532">
        <w:rPr>
          <w:sz w:val="22"/>
          <w:szCs w:val="22"/>
        </w:rPr>
        <w:t xml:space="preserve">L’Entrepreneur peut aménager des zones secondaires pour le stationnement des engins qui ne sont pas autorisés à stationner sur la voie publique en dehors des heures de travail et de l’emprise des chantiers. Ces zones peuvent comporter également un espace permettant les travaux de soudure, d’assemblage, de petit usinage, et de petit entretien d’engins. Ces zones ne pourront pas stocker des hydrocarbures. </w:t>
      </w:r>
    </w:p>
    <w:p w14:paraId="151B3B51" w14:textId="58B1234F" w:rsidR="000C0A36" w:rsidRPr="00617532" w:rsidRDefault="000C0A36" w:rsidP="0042293E">
      <w:pPr>
        <w:spacing w:after="120"/>
        <w:ind w:left="1276"/>
        <w:jc w:val="both"/>
        <w:rPr>
          <w:sz w:val="22"/>
          <w:szCs w:val="22"/>
        </w:rPr>
      </w:pPr>
      <w:r w:rsidRPr="00617532">
        <w:rPr>
          <w:sz w:val="22"/>
          <w:szCs w:val="22"/>
        </w:rPr>
        <w:t>Tout stockage de quelque nature que ce soit, est formellement interdit dans l’environnement immédiat, en dehors des emprises de chantiers et des zones prédéfinies.</w:t>
      </w:r>
    </w:p>
    <w:p w14:paraId="6C5D7CA6" w14:textId="77777777" w:rsidR="00D435BD" w:rsidRPr="00617532" w:rsidRDefault="00D435BD" w:rsidP="0042293E">
      <w:pPr>
        <w:spacing w:after="120"/>
        <w:ind w:left="1276"/>
        <w:jc w:val="both"/>
        <w:rPr>
          <w:sz w:val="22"/>
          <w:szCs w:val="22"/>
        </w:rPr>
      </w:pPr>
      <w:r w:rsidRPr="00617532">
        <w:rPr>
          <w:sz w:val="22"/>
          <w:szCs w:val="22"/>
        </w:rPr>
        <w:t>Seuls les matériels strictement indispensables sont tolérés sur le chantier. En dehors des accès, des lieux de passage désignés et des aires de travail, il est interdit de circuler avec des engins de chantier.</w:t>
      </w:r>
    </w:p>
    <w:p w14:paraId="5983D37B" w14:textId="77777777" w:rsidR="00D435BD" w:rsidRPr="00617532" w:rsidRDefault="00D435BD" w:rsidP="0042293E">
      <w:pPr>
        <w:spacing w:after="120"/>
        <w:ind w:left="1276"/>
        <w:jc w:val="both"/>
        <w:rPr>
          <w:sz w:val="22"/>
          <w:szCs w:val="22"/>
        </w:rPr>
      </w:pPr>
      <w:r w:rsidRPr="00617532">
        <w:rPr>
          <w:sz w:val="22"/>
          <w:szCs w:val="22"/>
        </w:rPr>
        <w:lastRenderedPageBreak/>
        <w:t>L’Entrepreneur doit s’assurer de la limitation de vitesse pour tous ses véhicules circulant sur la voie publique, avec un maximum de 60 km/h en rase campagne et 40 km/h au niveau des agglomérations et à la traversée des villages. Les conducteurs dépassant ces limites doivent faire l’objet de mesures disciplinaires pouvant aller jusqu’au licenciement. La pose de ralentisseurs aux entrées des agglomérations sera préconisée.</w:t>
      </w:r>
    </w:p>
    <w:p w14:paraId="1EA46598" w14:textId="1D3DA511" w:rsidR="00D435BD" w:rsidRDefault="00D435BD" w:rsidP="0042293E">
      <w:pPr>
        <w:spacing w:after="120"/>
        <w:ind w:left="1276"/>
        <w:jc w:val="both"/>
        <w:rPr>
          <w:sz w:val="22"/>
          <w:szCs w:val="22"/>
        </w:rPr>
      </w:pPr>
      <w:r w:rsidRPr="00617532">
        <w:rPr>
          <w:sz w:val="22"/>
          <w:szCs w:val="22"/>
        </w:rPr>
        <w:t>Les véhicules de l’Entrepreneur doivent en toute circonstance se conformer aux prescriptions du code de la route en vigueur, notamment en ce qui concerne le poids des véhicules en charge. L’Entrepreneur devra, en période sèche et en fonction des disponibilités en eau, arroser régulièrement les pistes empruntées par ses engins de transport pour éviter la poussière, plus particulièrement au niveau des zones habitées.</w:t>
      </w:r>
    </w:p>
    <w:p w14:paraId="5B7380DD" w14:textId="77777777" w:rsidR="00236C45" w:rsidRPr="00236C45" w:rsidRDefault="00236C45" w:rsidP="00236C45">
      <w:pPr>
        <w:spacing w:after="120"/>
        <w:ind w:left="1276"/>
        <w:jc w:val="both"/>
        <w:rPr>
          <w:sz w:val="22"/>
          <w:szCs w:val="22"/>
        </w:rPr>
      </w:pPr>
      <w:r w:rsidRPr="00236C45">
        <w:rPr>
          <w:sz w:val="22"/>
          <w:szCs w:val="22"/>
        </w:rPr>
        <w:t xml:space="preserve">Le contractant réalisera à ses propres frais tous les travaux de renforcement et de remise en état des pistes de circulation, notamment celles qui relient les Routes Nationales aux ouvrages principaux pendant la mise en œuvre des travaux ; ainsi que la réparation de tout dommage à la fin des travaux. </w:t>
      </w:r>
    </w:p>
    <w:p w14:paraId="79239724" w14:textId="68CF401A" w:rsidR="00236C45" w:rsidRPr="00236C45" w:rsidRDefault="00236C45" w:rsidP="00236C45">
      <w:pPr>
        <w:spacing w:after="120"/>
        <w:ind w:left="1276"/>
        <w:jc w:val="both"/>
        <w:rPr>
          <w:sz w:val="22"/>
          <w:szCs w:val="22"/>
        </w:rPr>
      </w:pPr>
      <w:r w:rsidRPr="00236C45">
        <w:rPr>
          <w:sz w:val="22"/>
          <w:szCs w:val="22"/>
        </w:rPr>
        <w:t>Un état des lieux consignant la situation initiale des toutes les pistes doit avoir lieux avant le démarrage effectif des travaux.</w:t>
      </w:r>
    </w:p>
    <w:p w14:paraId="60F245A1" w14:textId="77777777" w:rsidR="00236C45" w:rsidRPr="00617532" w:rsidRDefault="00236C45" w:rsidP="0042293E">
      <w:pPr>
        <w:spacing w:after="120"/>
        <w:ind w:left="1276"/>
        <w:jc w:val="both"/>
        <w:rPr>
          <w:sz w:val="22"/>
          <w:szCs w:val="22"/>
        </w:rPr>
      </w:pPr>
    </w:p>
    <w:p w14:paraId="683C70C3" w14:textId="77777777" w:rsidR="001050EE" w:rsidRPr="006015D0" w:rsidRDefault="001050EE" w:rsidP="0042293E">
      <w:pPr>
        <w:spacing w:after="120"/>
        <w:ind w:left="1276" w:hanging="1276"/>
        <w:jc w:val="both"/>
        <w:rPr>
          <w:b/>
          <w:szCs w:val="24"/>
        </w:rPr>
      </w:pPr>
      <w:r>
        <w:rPr>
          <w:b/>
          <w:szCs w:val="24"/>
        </w:rPr>
        <w:t>Article 27</w:t>
      </w:r>
      <w:r>
        <w:tab/>
      </w:r>
      <w:r w:rsidRPr="000F2B1E">
        <w:rPr>
          <w:b/>
          <w:szCs w:val="24"/>
        </w:rPr>
        <w:t>Matériaux provenant de démolitions</w:t>
      </w:r>
    </w:p>
    <w:p w14:paraId="18981D67" w14:textId="77777777" w:rsidR="000274FE" w:rsidRDefault="000274FE" w:rsidP="000274FE">
      <w:pPr>
        <w:spacing w:before="120" w:after="120"/>
        <w:ind w:left="1276" w:hanging="709"/>
        <w:jc w:val="both"/>
        <w:rPr>
          <w:sz w:val="22"/>
        </w:rPr>
      </w:pPr>
      <w:r>
        <w:rPr>
          <w:bCs/>
          <w:sz w:val="22"/>
          <w:szCs w:val="22"/>
        </w:rPr>
        <w:t>27.2</w:t>
      </w:r>
      <w:r>
        <w:tab/>
      </w:r>
      <w:r w:rsidRPr="00386D32">
        <w:rPr>
          <w:sz w:val="22"/>
        </w:rPr>
        <w:t>Les produits de démolition ou démontage de tout type d’appareillage hydromécanique ou aciers œuvrés resteront propriétés du maître d’ouvrage. Elles seront stockées dans un lieu de stockage déterminé pour la mise en sécurité avant toute décision de conservation ou liquidation traçable</w:t>
      </w:r>
      <w:r>
        <w:rPr>
          <w:sz w:val="22"/>
        </w:rPr>
        <w:t>.</w:t>
      </w:r>
    </w:p>
    <w:p w14:paraId="1EACC78B" w14:textId="77777777" w:rsidR="000274FE" w:rsidRDefault="000274FE" w:rsidP="000274FE">
      <w:pPr>
        <w:spacing w:before="120" w:after="120"/>
        <w:ind w:left="1276"/>
        <w:jc w:val="both"/>
        <w:rPr>
          <w:sz w:val="22"/>
        </w:rPr>
      </w:pPr>
      <w:r w:rsidRPr="00BE29AB">
        <w:rPr>
          <w:sz w:val="22"/>
        </w:rPr>
        <w:t>Il reviendra à l’entreprise titulaire la gestion des matériaux provenant des démolitions. La gestion des produits de démolition consiste à débiter l’ensemble en petits blocs et en séparant les armatures métalliques des blocs de béton. Les déchets métalliques seront récupérés par l’entreprise titulaire qui assurera leur recyclage. Les blocs en béton seront entreposés dans un site de dépôt, situé dans l’aire de la carrière à exploiter. Ces produits seront mis en tas et stabilisés sur des emplacements bien définis.</w:t>
      </w:r>
    </w:p>
    <w:p w14:paraId="24C32720" w14:textId="77777777" w:rsidR="000274FE" w:rsidRDefault="000274FE" w:rsidP="000274FE">
      <w:pPr>
        <w:spacing w:before="120" w:after="120"/>
        <w:ind w:left="1276" w:hanging="709"/>
        <w:jc w:val="both"/>
        <w:rPr>
          <w:sz w:val="22"/>
        </w:rPr>
      </w:pPr>
      <w:r w:rsidRPr="00386D32">
        <w:rPr>
          <w:bCs/>
          <w:sz w:val="22"/>
          <w:szCs w:val="22"/>
        </w:rPr>
        <w:t>27.4</w:t>
      </w:r>
      <w:r w:rsidRPr="00386D32">
        <w:tab/>
      </w:r>
      <w:r w:rsidRPr="00386D32">
        <w:rPr>
          <w:sz w:val="22"/>
        </w:rPr>
        <w:t>En complément des dispositions des Conditions générales : le nettoyage du chantier doit respecter les clauses environnementales et sociales des travaux.</w:t>
      </w:r>
    </w:p>
    <w:p w14:paraId="24045D73" w14:textId="28709A41" w:rsidR="00617532" w:rsidRDefault="000274FE" w:rsidP="000274FE">
      <w:pPr>
        <w:spacing w:after="120"/>
        <w:ind w:left="1276"/>
        <w:jc w:val="both"/>
        <w:rPr>
          <w:sz w:val="22"/>
          <w:szCs w:val="22"/>
        </w:rPr>
      </w:pPr>
      <w:r w:rsidRPr="006913C4">
        <w:rPr>
          <w:sz w:val="22"/>
        </w:rPr>
        <w:t>En complément des dispositions des Conditions générales : L’enlèvement des matériaux de démolitions est à la charge du contractant et à mettre dans un lieu approuvé par le maître d’œuvre.</w:t>
      </w:r>
    </w:p>
    <w:p w14:paraId="4A9B0881" w14:textId="77777777" w:rsidR="001050EE" w:rsidRPr="00617532" w:rsidRDefault="001050EE" w:rsidP="0042293E">
      <w:pPr>
        <w:spacing w:after="120"/>
        <w:ind w:left="1276" w:hanging="1276"/>
        <w:jc w:val="both"/>
        <w:rPr>
          <w:b/>
          <w:szCs w:val="24"/>
        </w:rPr>
      </w:pPr>
      <w:r w:rsidRPr="00617532">
        <w:rPr>
          <w:b/>
          <w:szCs w:val="24"/>
        </w:rPr>
        <w:t>Article 29</w:t>
      </w:r>
      <w:r w:rsidRPr="00617532">
        <w:tab/>
      </w:r>
      <w:r w:rsidRPr="00617532">
        <w:rPr>
          <w:b/>
          <w:szCs w:val="24"/>
        </w:rPr>
        <w:t>Ouvrages temporaires</w:t>
      </w:r>
    </w:p>
    <w:p w14:paraId="2EDE04F2" w14:textId="02DA7AC5" w:rsidR="000274FE" w:rsidRDefault="001050EE" w:rsidP="0042293E">
      <w:pPr>
        <w:spacing w:after="120"/>
        <w:ind w:left="1276" w:hanging="709"/>
        <w:jc w:val="both"/>
        <w:rPr>
          <w:sz w:val="22"/>
          <w:szCs w:val="22"/>
        </w:rPr>
      </w:pPr>
      <w:r w:rsidRPr="00617532">
        <w:rPr>
          <w:bCs/>
          <w:sz w:val="22"/>
          <w:szCs w:val="22"/>
        </w:rPr>
        <w:t>29.2</w:t>
      </w:r>
      <w:r w:rsidRPr="00617532">
        <w:tab/>
      </w:r>
      <w:r w:rsidR="000274FE" w:rsidRPr="000274FE">
        <w:rPr>
          <w:sz w:val="22"/>
          <w:szCs w:val="22"/>
        </w:rPr>
        <w:t xml:space="preserve">Pas d’ouvrages temporaires sous la responsabilité du maître d'ouvrage. Les ouvrages temporaires </w:t>
      </w:r>
      <w:proofErr w:type="gramStart"/>
      <w:r w:rsidR="000274FE" w:rsidRPr="000274FE">
        <w:rPr>
          <w:sz w:val="22"/>
          <w:szCs w:val="22"/>
        </w:rPr>
        <w:t>ressort</w:t>
      </w:r>
      <w:proofErr w:type="gramEnd"/>
      <w:r w:rsidR="000274FE" w:rsidRPr="000274FE">
        <w:rPr>
          <w:sz w:val="22"/>
          <w:szCs w:val="22"/>
        </w:rPr>
        <w:t xml:space="preserve"> de la responsabilité du titulaire notamment les ouvrages de déviations temporaires pours les accès si besoins.</w:t>
      </w:r>
    </w:p>
    <w:p w14:paraId="262A97D7" w14:textId="77777777" w:rsidR="000274FE" w:rsidRPr="006015D0" w:rsidRDefault="000274FE" w:rsidP="000274FE">
      <w:pPr>
        <w:spacing w:before="240"/>
        <w:ind w:left="1276" w:hanging="1276"/>
        <w:jc w:val="both"/>
        <w:rPr>
          <w:b/>
          <w:szCs w:val="24"/>
        </w:rPr>
      </w:pPr>
      <w:r>
        <w:rPr>
          <w:b/>
          <w:szCs w:val="24"/>
        </w:rPr>
        <w:t>Article 30</w:t>
      </w:r>
      <w:r>
        <w:tab/>
      </w:r>
      <w:r>
        <w:rPr>
          <w:b/>
          <w:szCs w:val="24"/>
        </w:rPr>
        <w:t>Études du sol</w:t>
      </w:r>
    </w:p>
    <w:p w14:paraId="04DE23D5" w14:textId="77777777" w:rsidR="000274FE" w:rsidRDefault="000274FE" w:rsidP="000274FE">
      <w:pPr>
        <w:spacing w:before="120" w:after="120"/>
        <w:ind w:left="1276" w:hanging="709"/>
        <w:jc w:val="both"/>
        <w:rPr>
          <w:sz w:val="22"/>
          <w:szCs w:val="22"/>
        </w:rPr>
      </w:pPr>
      <w:r>
        <w:rPr>
          <w:bCs/>
          <w:sz w:val="22"/>
          <w:szCs w:val="22"/>
        </w:rPr>
        <w:t>30.1</w:t>
      </w:r>
      <w:r>
        <w:tab/>
      </w:r>
      <w:r w:rsidRPr="00A56231">
        <w:rPr>
          <w:sz w:val="22"/>
          <w:szCs w:val="22"/>
        </w:rPr>
        <w:t>Le contractant aura la charge d’exécut</w:t>
      </w:r>
      <w:r>
        <w:rPr>
          <w:sz w:val="22"/>
          <w:szCs w:val="22"/>
        </w:rPr>
        <w:t>er</w:t>
      </w:r>
      <w:r w:rsidRPr="00A56231">
        <w:rPr>
          <w:sz w:val="22"/>
          <w:szCs w:val="22"/>
        </w:rPr>
        <w:t xml:space="preserve"> toutes les études de sol</w:t>
      </w:r>
      <w:r>
        <w:rPr>
          <w:sz w:val="22"/>
          <w:szCs w:val="22"/>
        </w:rPr>
        <w:t>s</w:t>
      </w:r>
      <w:r w:rsidRPr="00A56231">
        <w:rPr>
          <w:sz w:val="22"/>
          <w:szCs w:val="22"/>
        </w:rPr>
        <w:t xml:space="preserve"> et tous les essais de laboratoire, exigés pour la bonne réalisation et la bonne exécution de ses ouvrages.</w:t>
      </w:r>
    </w:p>
    <w:p w14:paraId="184FF799" w14:textId="77777777" w:rsidR="001050EE" w:rsidRPr="00533A18" w:rsidRDefault="001050EE" w:rsidP="00A44FD5">
      <w:pPr>
        <w:spacing w:before="120" w:after="120"/>
        <w:jc w:val="both"/>
        <w:rPr>
          <w:b/>
          <w:szCs w:val="24"/>
          <w:u w:val="single"/>
        </w:rPr>
      </w:pPr>
      <w:r w:rsidRPr="007A2F65">
        <w:rPr>
          <w:b/>
          <w:szCs w:val="24"/>
        </w:rPr>
        <w:t>Article 34</w:t>
      </w:r>
      <w:r w:rsidRPr="007A2F65">
        <w:tab/>
      </w:r>
      <w:r w:rsidRPr="000274FE">
        <w:rPr>
          <w:b/>
          <w:szCs w:val="24"/>
        </w:rPr>
        <w:t>Période de mise en œuvre des tâches</w:t>
      </w:r>
    </w:p>
    <w:p w14:paraId="4EDA62A7" w14:textId="267AF1D7" w:rsidR="001050EE" w:rsidRPr="006015D0" w:rsidRDefault="001050EE" w:rsidP="0042293E">
      <w:pPr>
        <w:pStyle w:val="Title"/>
        <w:spacing w:before="0"/>
        <w:ind w:left="1276" w:hanging="709"/>
        <w:jc w:val="both"/>
        <w:rPr>
          <w:rFonts w:ascii="Times New Roman" w:hAnsi="Times New Roman"/>
          <w:b w:val="0"/>
          <w:smallCaps/>
          <w:sz w:val="22"/>
          <w:szCs w:val="22"/>
        </w:rPr>
      </w:pPr>
      <w:r>
        <w:rPr>
          <w:rFonts w:ascii="Times New Roman" w:hAnsi="Times New Roman"/>
          <w:b w:val="0"/>
          <w:sz w:val="22"/>
          <w:szCs w:val="22"/>
        </w:rPr>
        <w:t>34.1</w:t>
      </w:r>
      <w:r>
        <w:tab/>
      </w:r>
      <w:bookmarkStart w:id="2" w:name="_Hlk121575400"/>
      <w:r w:rsidR="00AA6F0B" w:rsidRPr="00AA6F0B">
        <w:rPr>
          <w:rFonts w:ascii="Times New Roman" w:hAnsi="Times New Roman"/>
          <w:b w:val="0"/>
          <w:bCs/>
          <w:sz w:val="22"/>
          <w:szCs w:val="22"/>
        </w:rPr>
        <w:t xml:space="preserve">Le délai de mise en œuvre des tâches est fixé à </w:t>
      </w:r>
      <w:r w:rsidR="00AA6F0B" w:rsidRPr="007757EA">
        <w:rPr>
          <w:rFonts w:ascii="Times New Roman" w:hAnsi="Times New Roman"/>
          <w:bCs/>
          <w:sz w:val="22"/>
          <w:szCs w:val="22"/>
        </w:rPr>
        <w:t>QUINZE (15) MOIS</w:t>
      </w:r>
      <w:r w:rsidR="00AA6F0B" w:rsidRPr="00AA6F0B">
        <w:rPr>
          <w:rFonts w:ascii="Times New Roman" w:hAnsi="Times New Roman"/>
          <w:b w:val="0"/>
          <w:bCs/>
          <w:sz w:val="22"/>
          <w:szCs w:val="22"/>
        </w:rPr>
        <w:t xml:space="preserve"> à compter </w:t>
      </w:r>
      <w:r w:rsidR="00A75E7E" w:rsidRPr="00A75E7E">
        <w:rPr>
          <w:rFonts w:ascii="Times New Roman" w:hAnsi="Times New Roman"/>
          <w:b w:val="0"/>
          <w:bCs/>
          <w:sz w:val="22"/>
          <w:szCs w:val="22"/>
        </w:rPr>
        <w:t>de</w:t>
      </w:r>
      <w:r w:rsidR="00A75E7E">
        <w:rPr>
          <w:rFonts w:ascii="Times New Roman" w:hAnsi="Times New Roman"/>
          <w:b w:val="0"/>
          <w:bCs/>
          <w:sz w:val="22"/>
          <w:szCs w:val="22"/>
        </w:rPr>
        <w:t xml:space="preserve"> la date de</w:t>
      </w:r>
      <w:r w:rsidR="00A75E7E" w:rsidRPr="00A75E7E">
        <w:rPr>
          <w:rFonts w:ascii="Times New Roman" w:hAnsi="Times New Roman"/>
          <w:b w:val="0"/>
          <w:bCs/>
          <w:sz w:val="22"/>
          <w:szCs w:val="22"/>
        </w:rPr>
        <w:t xml:space="preserve"> début de mise en œuvre stipulée </w:t>
      </w:r>
      <w:r w:rsidR="00AA6F0B" w:rsidRPr="00AA6F0B">
        <w:rPr>
          <w:rFonts w:ascii="Times New Roman" w:hAnsi="Times New Roman"/>
          <w:b w:val="0"/>
          <w:bCs/>
          <w:sz w:val="22"/>
          <w:szCs w:val="22"/>
        </w:rPr>
        <w:t>de l’Ordre de Service de commencer les travaux</w:t>
      </w:r>
      <w:r w:rsidR="00A75E7E">
        <w:rPr>
          <w:rFonts w:ascii="Times New Roman" w:hAnsi="Times New Roman"/>
          <w:b w:val="0"/>
          <w:bCs/>
          <w:sz w:val="22"/>
          <w:szCs w:val="22"/>
        </w:rPr>
        <w:t xml:space="preserve">. </w:t>
      </w:r>
      <w:r w:rsidR="00A75E7E">
        <w:rPr>
          <w:rFonts w:ascii="Times New Roman" w:hAnsi="Times New Roman"/>
          <w:b w:val="0"/>
          <w:bCs/>
          <w:sz w:val="22"/>
          <w:szCs w:val="22"/>
        </w:rPr>
        <w:br/>
        <w:t xml:space="preserve">Ce délai comprend la </w:t>
      </w:r>
      <w:r w:rsidR="00A75E7E" w:rsidRPr="00A75E7E">
        <w:rPr>
          <w:rFonts w:ascii="Times New Roman" w:hAnsi="Times New Roman"/>
          <w:b w:val="0"/>
          <w:bCs/>
          <w:sz w:val="22"/>
          <w:szCs w:val="22"/>
        </w:rPr>
        <w:t xml:space="preserve">période de suspension, totale ou partielle, des travaux, estimée à </w:t>
      </w:r>
      <w:r w:rsidR="007757EA">
        <w:rPr>
          <w:rFonts w:ascii="Times New Roman" w:hAnsi="Times New Roman"/>
          <w:b w:val="0"/>
          <w:bCs/>
          <w:sz w:val="22"/>
          <w:szCs w:val="22"/>
        </w:rPr>
        <w:t>0</w:t>
      </w:r>
      <w:r w:rsidR="00A75E7E" w:rsidRPr="00A75E7E">
        <w:rPr>
          <w:rFonts w:ascii="Times New Roman" w:hAnsi="Times New Roman"/>
          <w:b w:val="0"/>
          <w:bCs/>
          <w:sz w:val="22"/>
          <w:szCs w:val="22"/>
        </w:rPr>
        <w:t>6 mois (entre janvier et juin), nécessaire pendant la saison des pluies</w:t>
      </w:r>
      <w:bookmarkEnd w:id="2"/>
      <w:r w:rsidR="00A75E7E" w:rsidRPr="00A75E7E">
        <w:rPr>
          <w:rFonts w:ascii="Times New Roman" w:hAnsi="Times New Roman"/>
          <w:b w:val="0"/>
          <w:bCs/>
          <w:sz w:val="22"/>
          <w:szCs w:val="22"/>
        </w:rPr>
        <w:t xml:space="preserve">. </w:t>
      </w:r>
      <w:r w:rsidR="00A75E7E">
        <w:rPr>
          <w:rFonts w:ascii="Times New Roman" w:hAnsi="Times New Roman"/>
          <w:b w:val="0"/>
          <w:bCs/>
          <w:sz w:val="22"/>
          <w:szCs w:val="22"/>
        </w:rPr>
        <w:t xml:space="preserve"> </w:t>
      </w:r>
    </w:p>
    <w:p w14:paraId="2B0771BE" w14:textId="77777777" w:rsidR="001050EE" w:rsidRPr="006015D0" w:rsidRDefault="001050EE" w:rsidP="0042293E">
      <w:pPr>
        <w:spacing w:after="120"/>
        <w:ind w:left="1276" w:hanging="1276"/>
        <w:jc w:val="both"/>
        <w:rPr>
          <w:b/>
          <w:szCs w:val="24"/>
        </w:rPr>
      </w:pPr>
      <w:r>
        <w:rPr>
          <w:b/>
          <w:szCs w:val="24"/>
        </w:rPr>
        <w:lastRenderedPageBreak/>
        <w:t>Article 36</w:t>
      </w:r>
      <w:r>
        <w:tab/>
      </w:r>
      <w:r>
        <w:rPr>
          <w:b/>
          <w:szCs w:val="24"/>
        </w:rPr>
        <w:t>Retards dans la mise en œuvre des tâches</w:t>
      </w:r>
    </w:p>
    <w:p w14:paraId="144D886B" w14:textId="48F99CBC" w:rsidR="001050EE" w:rsidRPr="00617532" w:rsidRDefault="001050EE" w:rsidP="0042293E">
      <w:pPr>
        <w:spacing w:after="120"/>
        <w:ind w:left="1276" w:hanging="709"/>
        <w:jc w:val="both"/>
        <w:rPr>
          <w:sz w:val="22"/>
          <w:szCs w:val="22"/>
        </w:rPr>
      </w:pPr>
      <w:r>
        <w:rPr>
          <w:bCs/>
          <w:sz w:val="22"/>
          <w:szCs w:val="22"/>
        </w:rPr>
        <w:t>36.1</w:t>
      </w:r>
      <w:r>
        <w:tab/>
      </w:r>
      <w:r w:rsidRPr="00617532">
        <w:rPr>
          <w:sz w:val="22"/>
          <w:szCs w:val="22"/>
        </w:rPr>
        <w:t>L’indemnité forfaitaire pour retards dans l’exécution des travaux est fixée à 0,1 % de la valeur du marché pour chaque jour ou portion de jour écoulé entre la fin de la période de mise en œuvre des tâches et la date réelle d’achèvement des travaux et jusqu’au plafond de 10 % de la valeur du marché ou, si le marché est subdivisé en phases, de la phase concernée et jusqu’à concurrence de 10 % du montant de la phase concernée.</w:t>
      </w:r>
      <w:r w:rsidR="000C0A36" w:rsidRPr="00617532">
        <w:rPr>
          <w:sz w:val="22"/>
          <w:szCs w:val="22"/>
        </w:rPr>
        <w:t xml:space="preserve"> </w:t>
      </w:r>
    </w:p>
    <w:p w14:paraId="7D7732A8" w14:textId="77777777" w:rsidR="001050EE" w:rsidRPr="00617532" w:rsidRDefault="001050EE" w:rsidP="0042293E">
      <w:pPr>
        <w:spacing w:after="120"/>
        <w:ind w:left="1276" w:hanging="1276"/>
        <w:jc w:val="both"/>
        <w:rPr>
          <w:b/>
          <w:szCs w:val="24"/>
        </w:rPr>
      </w:pPr>
      <w:r w:rsidRPr="00617532">
        <w:rPr>
          <w:b/>
          <w:szCs w:val="24"/>
        </w:rPr>
        <w:t>Article 39</w:t>
      </w:r>
      <w:r w:rsidRPr="00617532">
        <w:tab/>
      </w:r>
      <w:r w:rsidRPr="00617532">
        <w:rPr>
          <w:b/>
          <w:szCs w:val="24"/>
        </w:rPr>
        <w:t>Journal des travaux</w:t>
      </w:r>
    </w:p>
    <w:p w14:paraId="5D144699" w14:textId="25593009" w:rsidR="00490A43" w:rsidRPr="006015D0" w:rsidRDefault="001050EE" w:rsidP="00490A43">
      <w:pPr>
        <w:spacing w:before="120" w:after="120"/>
        <w:ind w:left="1276" w:hanging="709"/>
        <w:jc w:val="both"/>
        <w:rPr>
          <w:sz w:val="22"/>
          <w:szCs w:val="22"/>
        </w:rPr>
      </w:pPr>
      <w:r w:rsidRPr="00617532">
        <w:rPr>
          <w:bCs/>
          <w:sz w:val="22"/>
          <w:szCs w:val="22"/>
        </w:rPr>
        <w:t>39.1</w:t>
      </w:r>
      <w:r w:rsidRPr="00617532">
        <w:tab/>
      </w:r>
      <w:r w:rsidR="00490A43" w:rsidRPr="00494179">
        <w:rPr>
          <w:sz w:val="22"/>
        </w:rPr>
        <w:t xml:space="preserve">Un journal de chantier relatant la vie quotidienne du chantier est tenu par le représentant du maître d’œuvre. Il consigne quotidiennement les informations sur le déroulement du chantier (travaux réalisés, matériels, personnel, etc.), les conditions des travaux (météo, etc.), les visites, la liste des correspondances. </w:t>
      </w:r>
      <w:r w:rsidR="00490A43">
        <w:rPr>
          <w:sz w:val="22"/>
        </w:rPr>
        <w:t>L</w:t>
      </w:r>
      <w:r w:rsidR="00490A43" w:rsidRPr="00007506">
        <w:rPr>
          <w:sz w:val="22"/>
        </w:rPr>
        <w:t>e journal de</w:t>
      </w:r>
      <w:r w:rsidR="00490A43">
        <w:rPr>
          <w:sz w:val="22"/>
        </w:rPr>
        <w:t xml:space="preserve"> chantier </w:t>
      </w:r>
      <w:r w:rsidR="00490A43" w:rsidRPr="00007506">
        <w:rPr>
          <w:sz w:val="22"/>
        </w:rPr>
        <w:t xml:space="preserve">devra </w:t>
      </w:r>
      <w:r w:rsidR="00490A43">
        <w:rPr>
          <w:sz w:val="22"/>
        </w:rPr>
        <w:t xml:space="preserve">aussi </w:t>
      </w:r>
      <w:r w:rsidR="00490A43" w:rsidRPr="00007506">
        <w:rPr>
          <w:sz w:val="22"/>
        </w:rPr>
        <w:t>relever tout incident on accident lié à l’exécution des travaux ayant des impacts sur l’environnement ou sur la population. Il devra dans ce cas préciser les mesures de sécurisation et les mesures correctives envisagées par le contractant pour y remédier</w:t>
      </w:r>
      <w:r w:rsidR="00490A43">
        <w:rPr>
          <w:sz w:val="22"/>
        </w:rPr>
        <w:t xml:space="preserve">. </w:t>
      </w:r>
      <w:r w:rsidR="00490A43" w:rsidRPr="00494179">
        <w:rPr>
          <w:sz w:val="22"/>
        </w:rPr>
        <w:t xml:space="preserve">Le journal de chantier est à </w:t>
      </w:r>
      <w:r w:rsidR="00490A43">
        <w:rPr>
          <w:sz w:val="22"/>
        </w:rPr>
        <w:t>contre</w:t>
      </w:r>
      <w:r w:rsidR="00490A43" w:rsidRPr="00494179">
        <w:rPr>
          <w:sz w:val="22"/>
        </w:rPr>
        <w:t xml:space="preserve">signer par un représentant du </w:t>
      </w:r>
      <w:r w:rsidR="00490A43">
        <w:rPr>
          <w:sz w:val="22"/>
        </w:rPr>
        <w:t>contractant</w:t>
      </w:r>
      <w:r w:rsidR="00490A43" w:rsidRPr="00494179">
        <w:rPr>
          <w:sz w:val="22"/>
        </w:rPr>
        <w:t>.</w:t>
      </w:r>
    </w:p>
    <w:p w14:paraId="6DE54321" w14:textId="77777777" w:rsidR="00490A43" w:rsidRDefault="00490A43" w:rsidP="00490A43">
      <w:pPr>
        <w:spacing w:before="120" w:after="120"/>
        <w:ind w:left="1276" w:hanging="709"/>
        <w:jc w:val="both"/>
        <w:rPr>
          <w:sz w:val="22"/>
        </w:rPr>
      </w:pPr>
      <w:r>
        <w:rPr>
          <w:bCs/>
          <w:sz w:val="22"/>
          <w:szCs w:val="22"/>
        </w:rPr>
        <w:t>39.2</w:t>
      </w:r>
      <w:r>
        <w:tab/>
      </w:r>
      <w:r w:rsidRPr="00494179">
        <w:rPr>
          <w:sz w:val="22"/>
        </w:rPr>
        <w:t xml:space="preserve">La prise en attachement des travaux réalisés fait suite à la constatation contradictoire </w:t>
      </w:r>
      <w:r>
        <w:rPr>
          <w:sz w:val="22"/>
        </w:rPr>
        <w:t>que lesdits travaux</w:t>
      </w:r>
      <w:r w:rsidRPr="00494179">
        <w:rPr>
          <w:sz w:val="22"/>
        </w:rPr>
        <w:t xml:space="preserve"> </w:t>
      </w:r>
      <w:r>
        <w:rPr>
          <w:sz w:val="22"/>
        </w:rPr>
        <w:t xml:space="preserve">ont, d’une part, </w:t>
      </w:r>
      <w:r w:rsidRPr="00494179">
        <w:rPr>
          <w:sz w:val="22"/>
        </w:rPr>
        <w:t>respect</w:t>
      </w:r>
      <w:r>
        <w:rPr>
          <w:sz w:val="22"/>
        </w:rPr>
        <w:t>é</w:t>
      </w:r>
      <w:r w:rsidRPr="00494179">
        <w:rPr>
          <w:sz w:val="22"/>
        </w:rPr>
        <w:t xml:space="preserve"> rigoureusement les prescriptions techniques, notamment, les dossiers d’exécution approuvés par le maître d’œuvre, le PAQ élaboré par le contractant et</w:t>
      </w:r>
      <w:r>
        <w:rPr>
          <w:sz w:val="22"/>
        </w:rPr>
        <w:t xml:space="preserve">, d’autre part, </w:t>
      </w:r>
      <w:r w:rsidRPr="00494179">
        <w:rPr>
          <w:sz w:val="22"/>
        </w:rPr>
        <w:t>pass</w:t>
      </w:r>
      <w:r>
        <w:rPr>
          <w:sz w:val="22"/>
        </w:rPr>
        <w:t>é</w:t>
      </w:r>
      <w:r w:rsidRPr="00494179">
        <w:rPr>
          <w:sz w:val="22"/>
        </w:rPr>
        <w:t xml:space="preserve"> avec succès tous les essais et contrôles </w:t>
      </w:r>
      <w:r>
        <w:rPr>
          <w:sz w:val="22"/>
        </w:rPr>
        <w:t>internes, externes</w:t>
      </w:r>
      <w:r w:rsidRPr="00494179">
        <w:rPr>
          <w:sz w:val="22"/>
        </w:rPr>
        <w:t xml:space="preserve"> et supplémentaires aux points d’arrêts définis. </w:t>
      </w:r>
    </w:p>
    <w:p w14:paraId="0F4D4A3E" w14:textId="77777777" w:rsidR="00490A43" w:rsidRPr="00494179" w:rsidRDefault="00490A43" w:rsidP="00490A43">
      <w:pPr>
        <w:spacing w:before="120" w:after="120"/>
        <w:ind w:left="1276"/>
        <w:jc w:val="both"/>
        <w:rPr>
          <w:sz w:val="22"/>
        </w:rPr>
      </w:pPr>
      <w:r w:rsidRPr="00494179">
        <w:rPr>
          <w:sz w:val="22"/>
        </w:rPr>
        <w:t xml:space="preserve">Toutes les pièces relatives aux différents contrôles aux points d’arrêts (résultats d’essais, photographies, vidéo, etc.) font partie des pièces exigées par le maître d’ouvrage </w:t>
      </w:r>
      <w:r>
        <w:rPr>
          <w:sz w:val="22"/>
        </w:rPr>
        <w:t>pour</w:t>
      </w:r>
      <w:r w:rsidRPr="00494179">
        <w:rPr>
          <w:sz w:val="22"/>
        </w:rPr>
        <w:t xml:space="preserve"> accompagner les projets d’attachement au même titre que les documents de constats de mesures contradictoires.</w:t>
      </w:r>
    </w:p>
    <w:p w14:paraId="2325ECBD" w14:textId="77777777" w:rsidR="00490A43" w:rsidRPr="00386D32" w:rsidRDefault="00490A43" w:rsidP="00490A43">
      <w:pPr>
        <w:spacing w:before="120" w:after="120"/>
        <w:ind w:left="1276"/>
        <w:jc w:val="both"/>
        <w:rPr>
          <w:sz w:val="22"/>
        </w:rPr>
      </w:pPr>
      <w:r w:rsidRPr="00494179">
        <w:rPr>
          <w:sz w:val="22"/>
        </w:rPr>
        <w:t xml:space="preserve">Les constatations concernant les </w:t>
      </w:r>
      <w:r>
        <w:rPr>
          <w:sz w:val="22"/>
        </w:rPr>
        <w:t>ouvrages</w:t>
      </w:r>
      <w:r w:rsidRPr="00494179">
        <w:rPr>
          <w:sz w:val="22"/>
        </w:rPr>
        <w:t xml:space="preserve"> exécutés</w:t>
      </w:r>
      <w:r>
        <w:rPr>
          <w:sz w:val="22"/>
        </w:rPr>
        <w:t>,</w:t>
      </w:r>
      <w:r w:rsidRPr="00494179">
        <w:rPr>
          <w:sz w:val="22"/>
        </w:rPr>
        <w:t xml:space="preserve"> quand il s'agit de travaux réglés sur prix unitaires, portent sur les éléments nécessaires au calcul des quantités à prendre en compte, tels que résultats de mesurages, jaugeages, pesages, comptages, et sur les éléments </w:t>
      </w:r>
      <w:r w:rsidRPr="00386D32">
        <w:rPr>
          <w:sz w:val="22"/>
        </w:rPr>
        <w:t>caractéristiques nécessaires à la détermination du prix unitaire à appliquer.</w:t>
      </w:r>
    </w:p>
    <w:p w14:paraId="00F7DBB1" w14:textId="77777777" w:rsidR="00490A43" w:rsidRPr="00386D32" w:rsidRDefault="00490A43" w:rsidP="00490A43">
      <w:pPr>
        <w:spacing w:before="120" w:after="120"/>
        <w:ind w:left="1276"/>
        <w:jc w:val="both"/>
        <w:rPr>
          <w:sz w:val="22"/>
        </w:rPr>
      </w:pPr>
      <w:r w:rsidRPr="00386D32">
        <w:rPr>
          <w:sz w:val="22"/>
        </w:rPr>
        <w:t xml:space="preserve">Pour les gros ouvrages, tels que barrages, bâche, dessableur, ponts et ponceaux, </w:t>
      </w:r>
      <w:proofErr w:type="spellStart"/>
      <w:r w:rsidRPr="00386D32">
        <w:rPr>
          <w:sz w:val="22"/>
        </w:rPr>
        <w:t>etc</w:t>
      </w:r>
      <w:proofErr w:type="spellEnd"/>
      <w:r>
        <w:rPr>
          <w:sz w:val="22"/>
        </w:rPr>
        <w:t xml:space="preserve"> </w:t>
      </w:r>
      <w:r w:rsidRPr="00386D32">
        <w:rPr>
          <w:sz w:val="22"/>
        </w:rPr>
        <w:t>, ainsi que les ouvrages fondés sur pieux : la prise en attachement partiel est envisagée.</w:t>
      </w:r>
    </w:p>
    <w:p w14:paraId="3FB3BE49" w14:textId="77777777" w:rsidR="00490A43" w:rsidRPr="00386D32" w:rsidRDefault="00490A43" w:rsidP="00490A43">
      <w:pPr>
        <w:spacing w:before="120" w:after="120"/>
        <w:ind w:left="1276"/>
        <w:jc w:val="both"/>
        <w:rPr>
          <w:sz w:val="22"/>
        </w:rPr>
      </w:pPr>
      <w:r w:rsidRPr="00386D32">
        <w:rPr>
          <w:sz w:val="22"/>
        </w:rPr>
        <w:t>Pour les ouvrages de moyenne et petite envergure : la prise en attachement est effectuée à l’achèvement des travaux.</w:t>
      </w:r>
    </w:p>
    <w:p w14:paraId="6D97DE12" w14:textId="77777777" w:rsidR="00490A43" w:rsidRPr="00494179" w:rsidRDefault="00490A43" w:rsidP="00490A43">
      <w:pPr>
        <w:spacing w:before="120" w:after="120"/>
        <w:ind w:left="1276"/>
        <w:jc w:val="both"/>
        <w:rPr>
          <w:sz w:val="22"/>
        </w:rPr>
      </w:pPr>
      <w:r w:rsidRPr="00386D32">
        <w:rPr>
          <w:sz w:val="22"/>
        </w:rPr>
        <w:t xml:space="preserve">Les constatations contradictoires faites pour la sauvegarde </w:t>
      </w:r>
      <w:r w:rsidRPr="00494179">
        <w:rPr>
          <w:sz w:val="22"/>
        </w:rPr>
        <w:t>des droits éventuels de l'une ou de l'autre des parties ne préjugent pas l'existence de ces droits, elles ne peuvent porter sur l'a</w:t>
      </w:r>
      <w:r>
        <w:rPr>
          <w:sz w:val="22"/>
        </w:rPr>
        <w:t>ppréciation de responsabilités.</w:t>
      </w:r>
    </w:p>
    <w:p w14:paraId="762F3EE3" w14:textId="77777777" w:rsidR="00490A43" w:rsidRPr="00494179" w:rsidRDefault="00490A43" w:rsidP="00490A43">
      <w:pPr>
        <w:spacing w:before="120" w:after="120"/>
        <w:ind w:left="1276"/>
        <w:jc w:val="both"/>
        <w:rPr>
          <w:sz w:val="22"/>
        </w:rPr>
      </w:pPr>
      <w:r w:rsidRPr="00494179">
        <w:rPr>
          <w:sz w:val="22"/>
        </w:rPr>
        <w:t xml:space="preserve">Le Maître d'Œuvre fixe la date des constatations lorsque la demande est présentée par </w:t>
      </w:r>
      <w:r>
        <w:rPr>
          <w:sz w:val="22"/>
        </w:rPr>
        <w:t>le contractant. C</w:t>
      </w:r>
      <w:r w:rsidRPr="00494179">
        <w:rPr>
          <w:sz w:val="22"/>
        </w:rPr>
        <w:t xml:space="preserve">ette date ne peut être postérieure de plus de huit </w:t>
      </w:r>
      <w:r>
        <w:rPr>
          <w:sz w:val="22"/>
        </w:rPr>
        <w:t xml:space="preserve">(08) </w:t>
      </w:r>
      <w:r w:rsidRPr="00494179">
        <w:rPr>
          <w:sz w:val="22"/>
        </w:rPr>
        <w:t>jours à celle de la demande. Les constatations donnent lieu à la rédaction d'un attachement dr</w:t>
      </w:r>
      <w:r>
        <w:rPr>
          <w:sz w:val="22"/>
        </w:rPr>
        <w:t>e</w:t>
      </w:r>
      <w:r w:rsidRPr="00494179">
        <w:rPr>
          <w:sz w:val="22"/>
        </w:rPr>
        <w:t>ssé sur-le-champ par le Maître d'Œuvre contradi</w:t>
      </w:r>
      <w:r>
        <w:rPr>
          <w:sz w:val="22"/>
        </w:rPr>
        <w:t>ctoirement avec le contractant.</w:t>
      </w:r>
    </w:p>
    <w:p w14:paraId="0D8C8F77" w14:textId="77777777" w:rsidR="00490A43" w:rsidRPr="00494179" w:rsidRDefault="00490A43" w:rsidP="00490A43">
      <w:pPr>
        <w:spacing w:before="120" w:after="120"/>
        <w:ind w:left="1276"/>
        <w:jc w:val="both"/>
        <w:rPr>
          <w:sz w:val="22"/>
        </w:rPr>
      </w:pPr>
      <w:r w:rsidRPr="00494179">
        <w:rPr>
          <w:sz w:val="22"/>
        </w:rPr>
        <w:t xml:space="preserve">Si </w:t>
      </w:r>
      <w:r>
        <w:rPr>
          <w:sz w:val="22"/>
        </w:rPr>
        <w:t>le contractant</w:t>
      </w:r>
      <w:r w:rsidRPr="00494179">
        <w:rPr>
          <w:sz w:val="22"/>
        </w:rPr>
        <w:t xml:space="preserve"> refuse de signer cet attachement ou ne le signe qu'avec réserves, il doit, dans les quinze jours qui suivent, préciser par écrit ses observations</w:t>
      </w:r>
      <w:r>
        <w:rPr>
          <w:sz w:val="22"/>
        </w:rPr>
        <w:t xml:space="preserve"> ou réserves au Maître d'Œuvre.</w:t>
      </w:r>
    </w:p>
    <w:p w14:paraId="64688B97" w14:textId="77777777" w:rsidR="00490A43" w:rsidRPr="006015D0" w:rsidRDefault="00490A43" w:rsidP="00490A43">
      <w:pPr>
        <w:spacing w:before="120" w:after="120"/>
        <w:ind w:left="1276"/>
        <w:jc w:val="both"/>
        <w:rPr>
          <w:bCs/>
          <w:sz w:val="22"/>
          <w:szCs w:val="22"/>
        </w:rPr>
      </w:pPr>
      <w:r w:rsidRPr="00494179">
        <w:rPr>
          <w:sz w:val="22"/>
        </w:rPr>
        <w:t xml:space="preserve">Si </w:t>
      </w:r>
      <w:r>
        <w:rPr>
          <w:sz w:val="22"/>
        </w:rPr>
        <w:t>le contractant</w:t>
      </w:r>
      <w:r w:rsidRPr="00494179">
        <w:rPr>
          <w:sz w:val="22"/>
        </w:rPr>
        <w:t>, dûment convoqué, n'est pas présent ou représenté aux constatations, il est réputé accepter sans réserve l'attachement qui en résulte.</w:t>
      </w:r>
    </w:p>
    <w:p w14:paraId="7025CCF1" w14:textId="61536EF4" w:rsidR="001050EE" w:rsidRPr="006015D0" w:rsidRDefault="001050EE" w:rsidP="00490A43">
      <w:pPr>
        <w:spacing w:after="120"/>
        <w:ind w:left="1276" w:hanging="709"/>
        <w:jc w:val="both"/>
        <w:rPr>
          <w:bCs/>
          <w:sz w:val="22"/>
          <w:szCs w:val="22"/>
        </w:rPr>
      </w:pPr>
    </w:p>
    <w:p w14:paraId="75342FEF" w14:textId="77777777" w:rsidR="001050EE" w:rsidRPr="006015D0" w:rsidRDefault="001050EE" w:rsidP="0042293E">
      <w:pPr>
        <w:spacing w:after="120"/>
        <w:ind w:left="1276" w:hanging="1276"/>
        <w:jc w:val="both"/>
        <w:rPr>
          <w:b/>
          <w:szCs w:val="24"/>
        </w:rPr>
      </w:pPr>
      <w:r>
        <w:rPr>
          <w:b/>
          <w:szCs w:val="24"/>
        </w:rPr>
        <w:lastRenderedPageBreak/>
        <w:t>Article 40</w:t>
      </w:r>
      <w:r>
        <w:tab/>
      </w:r>
      <w:r>
        <w:rPr>
          <w:b/>
          <w:szCs w:val="24"/>
        </w:rPr>
        <w:t>Origine et qualité des ouvrages et matériaux</w:t>
      </w:r>
    </w:p>
    <w:p w14:paraId="587032CE" w14:textId="69949B64" w:rsidR="00CA3ABA" w:rsidRPr="00B67B8E" w:rsidRDefault="009D3DDD" w:rsidP="000D2A8C">
      <w:pPr>
        <w:pStyle w:val="pointarticle"/>
        <w:rPr>
          <w:b/>
        </w:rPr>
      </w:pPr>
      <w:r>
        <w:t>40.</w:t>
      </w:r>
      <w:r w:rsidR="000D2A8C">
        <w:t>2</w:t>
      </w:r>
      <w:r>
        <w:tab/>
      </w:r>
      <w:r w:rsidR="001039C5">
        <w:t>T</w:t>
      </w:r>
      <w:r w:rsidR="00CA3ABA">
        <w:t xml:space="preserve">ous les biens achetés en application du présent marché doivent provenir d’un État membre de l’Union européenne ou d’un État couvert par le programme au titre de </w:t>
      </w:r>
      <w:r w:rsidR="001039C5" w:rsidRPr="00386D32">
        <w:t>du 11</w:t>
      </w:r>
      <w:r w:rsidR="001039C5" w:rsidRPr="00386D32">
        <w:rPr>
          <w:vertAlign w:val="superscript"/>
        </w:rPr>
        <w:t>ème</w:t>
      </w:r>
      <w:r w:rsidR="001039C5" w:rsidRPr="00386D32">
        <w:t xml:space="preserve"> Fonds </w:t>
      </w:r>
      <w:r w:rsidR="001039C5" w:rsidRPr="00B67B8E">
        <w:t>Européens de Développement (FED)</w:t>
      </w:r>
      <w:r w:rsidR="00CA3ABA" w:rsidRPr="00B67B8E">
        <w:t>.</w:t>
      </w:r>
    </w:p>
    <w:p w14:paraId="686D4F6E" w14:textId="69687606" w:rsidR="0027754F" w:rsidRPr="00A44FD5" w:rsidRDefault="0027754F" w:rsidP="00A44FD5">
      <w:pPr>
        <w:pStyle w:val="pointarticle"/>
        <w:ind w:firstLine="0"/>
      </w:pPr>
      <w:r w:rsidRPr="00A44FD5">
        <w:t>Les biens à acheter peuvent néanmoins provenir de n’importe quel pays lorsque le prix total</w:t>
      </w:r>
      <w:r w:rsidR="001039C5" w:rsidRPr="00A44FD5">
        <w:t xml:space="preserve"> </w:t>
      </w:r>
      <w:r w:rsidRPr="00A44FD5">
        <w:t>de la quantité estimée de ces biens, comme l’indique une mention séparée</w:t>
      </w:r>
      <w:r w:rsidR="001039C5" w:rsidRPr="00A44FD5">
        <w:t xml:space="preserve"> </w:t>
      </w:r>
      <w:r w:rsidR="003D338A" w:rsidRPr="00A44FD5">
        <w:t>du détail estimatif (volume 4.3.2)</w:t>
      </w:r>
      <w:r w:rsidR="001039C5" w:rsidRPr="00A44FD5">
        <w:t xml:space="preserve"> </w:t>
      </w:r>
      <w:bookmarkStart w:id="3" w:name="_Hlk121492857"/>
      <w:r w:rsidRPr="00A44FD5">
        <w:t>est inférieur à 100 000 EUR</w:t>
      </w:r>
      <w:bookmarkEnd w:id="3"/>
      <w:r w:rsidRPr="00A44FD5">
        <w:t xml:space="preserve">.  </w:t>
      </w:r>
    </w:p>
    <w:p w14:paraId="448D1696" w14:textId="6F834C70" w:rsidR="0027754F" w:rsidRPr="000D2A8C" w:rsidRDefault="0027754F" w:rsidP="000D2A8C">
      <w:pPr>
        <w:pStyle w:val="Heading2"/>
        <w:keepNext w:val="0"/>
        <w:numPr>
          <w:ilvl w:val="1"/>
          <w:numId w:val="0"/>
        </w:numPr>
        <w:spacing w:after="120"/>
        <w:ind w:left="1276"/>
        <w:rPr>
          <w:rFonts w:ascii="Times New Roman" w:hAnsi="Times New Roman"/>
          <w:b w:val="0"/>
          <w:color w:val="000000"/>
          <w:sz w:val="22"/>
          <w:szCs w:val="22"/>
        </w:rPr>
      </w:pPr>
      <w:r w:rsidRPr="000D2A8C">
        <w:rPr>
          <w:rFonts w:ascii="Times New Roman" w:hAnsi="Times New Roman"/>
          <w:b w:val="0"/>
          <w:color w:val="000000"/>
          <w:sz w:val="22"/>
          <w:szCs w:val="22"/>
        </w:rPr>
        <w:t>Une catégorie de biens similaires à acheter ne peut être ventilée en plus d’un article du détail estimatif (volume 4.3.2)]</w:t>
      </w:r>
    </w:p>
    <w:p w14:paraId="73A85A59" w14:textId="77777777" w:rsidR="001050EE" w:rsidRPr="006015D0" w:rsidRDefault="001050EE" w:rsidP="000D2A8C">
      <w:pPr>
        <w:pStyle w:val="Heading2"/>
        <w:keepNext w:val="0"/>
        <w:numPr>
          <w:ilvl w:val="1"/>
          <w:numId w:val="0"/>
        </w:numPr>
        <w:spacing w:after="120"/>
        <w:ind w:left="1276"/>
        <w:rPr>
          <w:rFonts w:ascii="Times New Roman" w:hAnsi="Times New Roman"/>
          <w:b w:val="0"/>
          <w:sz w:val="22"/>
          <w:szCs w:val="22"/>
        </w:rPr>
      </w:pPr>
      <w:r>
        <w:rPr>
          <w:rFonts w:ascii="Times New Roman" w:hAnsi="Times New Roman"/>
          <w:b w:val="0"/>
          <w:sz w:val="22"/>
          <w:szCs w:val="22"/>
        </w:rPr>
        <w:t>Aux fins de la présente disposition, l’«origine» signifie l’endroit où les biens sont extraits, cultivés, produits ou manufacturés et/ou d’où les services sont prestés. L’origine des biens doit être déterminée en accord avec le code des douanes de l’Union européenne ou de la convention internationale applicable en l’espèce.</w:t>
      </w:r>
    </w:p>
    <w:p w14:paraId="1C9EEAB7" w14:textId="1B1862DF" w:rsidR="001050EE" w:rsidRPr="000D2A8C" w:rsidRDefault="001050EE" w:rsidP="000D2A8C">
      <w:pPr>
        <w:pStyle w:val="Heading2"/>
        <w:keepNext w:val="0"/>
        <w:numPr>
          <w:ilvl w:val="1"/>
          <w:numId w:val="0"/>
        </w:numPr>
        <w:spacing w:after="120"/>
        <w:ind w:left="1276"/>
        <w:rPr>
          <w:rFonts w:ascii="Times New Roman" w:hAnsi="Times New Roman"/>
          <w:b w:val="0"/>
          <w:sz w:val="22"/>
          <w:szCs w:val="22"/>
        </w:rPr>
      </w:pPr>
      <w:r w:rsidRPr="000D2A8C">
        <w:rPr>
          <w:rFonts w:ascii="Times New Roman" w:hAnsi="Times New Roman"/>
          <w:b w:val="0"/>
          <w:sz w:val="22"/>
          <w:szCs w:val="22"/>
        </w:rPr>
        <w:t>Les biens provenant de l’UE incluent ceux issus des pays et territoires d’outre-mer.]</w:t>
      </w:r>
    </w:p>
    <w:p w14:paraId="51C0A4D4" w14:textId="087B10A5" w:rsidR="0027754F" w:rsidRDefault="001050EE" w:rsidP="000D2A8C">
      <w:pPr>
        <w:pStyle w:val="Heading2"/>
        <w:keepNext w:val="0"/>
        <w:numPr>
          <w:ilvl w:val="1"/>
          <w:numId w:val="0"/>
        </w:numPr>
        <w:spacing w:after="120"/>
        <w:ind w:left="1276"/>
        <w:rPr>
          <w:rFonts w:ascii="Times New Roman" w:hAnsi="Times New Roman"/>
          <w:b w:val="0"/>
          <w:sz w:val="22"/>
          <w:szCs w:val="22"/>
        </w:rPr>
      </w:pPr>
      <w:r w:rsidRPr="000D2A8C">
        <w:rPr>
          <w:rFonts w:ascii="Times New Roman" w:hAnsi="Times New Roman"/>
          <w:b w:val="0"/>
          <w:bCs/>
          <w:iCs/>
          <w:snapToGrid/>
          <w:color w:val="000000"/>
          <w:sz w:val="22"/>
          <w:szCs w:val="28"/>
        </w:rPr>
        <w:t>Toute</w:t>
      </w:r>
      <w:r w:rsidRPr="000D2A8C">
        <w:rPr>
          <w:rFonts w:ascii="Times New Roman" w:hAnsi="Times New Roman"/>
          <w:b w:val="0"/>
          <w:sz w:val="22"/>
          <w:szCs w:val="22"/>
        </w:rPr>
        <w:t xml:space="preserve"> modification apportée, lors des importations, à l’origine prévue doit avoir été signalée au maître d’œuvre et avoir reçu son approbation.</w:t>
      </w:r>
    </w:p>
    <w:p w14:paraId="5B3C14D1" w14:textId="77777777" w:rsidR="00490A43" w:rsidRDefault="00490A43" w:rsidP="00490A43">
      <w:pPr>
        <w:spacing w:before="120" w:after="120"/>
        <w:ind w:left="1276" w:hanging="709"/>
        <w:jc w:val="both"/>
        <w:rPr>
          <w:sz w:val="22"/>
          <w:szCs w:val="22"/>
        </w:rPr>
      </w:pPr>
      <w:r>
        <w:rPr>
          <w:bCs/>
          <w:sz w:val="22"/>
          <w:szCs w:val="22"/>
        </w:rPr>
        <w:t>40.4</w:t>
      </w:r>
      <w:r>
        <w:tab/>
      </w:r>
      <w:r w:rsidRPr="00A37573">
        <w:rPr>
          <w:bCs/>
          <w:sz w:val="22"/>
          <w:szCs w:val="22"/>
        </w:rPr>
        <w:t xml:space="preserve">Le maître d’œuvre ou son représentant effectuera une réception technique préliminaire </w:t>
      </w:r>
      <w:r>
        <w:rPr>
          <w:bCs/>
          <w:sz w:val="22"/>
          <w:szCs w:val="22"/>
        </w:rPr>
        <w:br/>
      </w:r>
      <w:r w:rsidRPr="00A37573">
        <w:rPr>
          <w:bCs/>
          <w:sz w:val="22"/>
          <w:szCs w:val="22"/>
        </w:rPr>
        <w:t>de tous les matériaux (graviers, sables, ciments, fers, etc.) et équipements qui rentrent dans l’exécution des travaux</w:t>
      </w:r>
      <w:r>
        <w:rPr>
          <w:bCs/>
          <w:sz w:val="22"/>
          <w:szCs w:val="22"/>
        </w:rPr>
        <w:t>.</w:t>
      </w:r>
    </w:p>
    <w:p w14:paraId="743A49C7" w14:textId="77777777" w:rsidR="00490A43" w:rsidRPr="00490A43" w:rsidRDefault="00490A43" w:rsidP="00490A43"/>
    <w:p w14:paraId="4B8E16E2" w14:textId="77777777" w:rsidR="001050EE" w:rsidRPr="006015D0" w:rsidRDefault="001050EE" w:rsidP="0042293E">
      <w:pPr>
        <w:spacing w:after="120"/>
        <w:ind w:left="1276" w:hanging="1276"/>
        <w:jc w:val="both"/>
        <w:rPr>
          <w:b/>
          <w:szCs w:val="24"/>
        </w:rPr>
      </w:pPr>
      <w:r>
        <w:rPr>
          <w:b/>
          <w:szCs w:val="24"/>
        </w:rPr>
        <w:t>Article 44</w:t>
      </w:r>
      <w:r>
        <w:tab/>
      </w:r>
      <w:r>
        <w:rPr>
          <w:b/>
          <w:szCs w:val="24"/>
        </w:rPr>
        <w:t>Principes généraux paiements</w:t>
      </w:r>
    </w:p>
    <w:p w14:paraId="58304A53" w14:textId="0115210B" w:rsidR="000021EC" w:rsidRDefault="001050EE" w:rsidP="000021EC">
      <w:pPr>
        <w:tabs>
          <w:tab w:val="right" w:pos="9885"/>
        </w:tabs>
        <w:spacing w:after="120"/>
        <w:ind w:left="1276" w:hanging="709"/>
        <w:jc w:val="both"/>
        <w:rPr>
          <w:sz w:val="22"/>
          <w:szCs w:val="22"/>
        </w:rPr>
      </w:pPr>
      <w:r>
        <w:rPr>
          <w:bCs/>
          <w:sz w:val="22"/>
          <w:szCs w:val="22"/>
        </w:rPr>
        <w:t>44.1</w:t>
      </w:r>
      <w:r>
        <w:tab/>
      </w:r>
      <w:r>
        <w:rPr>
          <w:sz w:val="22"/>
          <w:szCs w:val="22"/>
        </w:rPr>
        <w:t xml:space="preserve">Les paiements sont effectués en </w:t>
      </w:r>
      <w:r w:rsidRPr="000F2B1E">
        <w:rPr>
          <w:b/>
          <w:sz w:val="22"/>
          <w:szCs w:val="22"/>
        </w:rPr>
        <w:t>EUR</w:t>
      </w:r>
      <w:r w:rsidR="000F2B1E">
        <w:rPr>
          <w:sz w:val="22"/>
          <w:szCs w:val="22"/>
        </w:rPr>
        <w:t>.</w:t>
      </w:r>
    </w:p>
    <w:p w14:paraId="6C348E7C" w14:textId="212EE0C3" w:rsidR="007C1976" w:rsidRDefault="001050EE" w:rsidP="000021EC">
      <w:pPr>
        <w:tabs>
          <w:tab w:val="right" w:pos="9885"/>
        </w:tabs>
        <w:spacing w:after="120"/>
        <w:ind w:left="1276" w:hanging="709"/>
        <w:jc w:val="both"/>
        <w:rPr>
          <w:sz w:val="22"/>
          <w:szCs w:val="22"/>
        </w:rPr>
      </w:pPr>
      <w:r>
        <w:rPr>
          <w:bCs/>
          <w:sz w:val="22"/>
          <w:szCs w:val="22"/>
        </w:rPr>
        <w:t>44.2</w:t>
      </w:r>
      <w:r>
        <w:tab/>
      </w:r>
      <w:r>
        <w:rPr>
          <w:sz w:val="22"/>
          <w:szCs w:val="22"/>
        </w:rPr>
        <w:t>Lorsque les factures sont introduites auprès du maître d’œuvre, le contractant en informe la Commission européenne par l’envoi d’une copie de la correspondance à</w:t>
      </w:r>
      <w:r w:rsidR="007C1976">
        <w:rPr>
          <w:sz w:val="22"/>
          <w:szCs w:val="22"/>
        </w:rPr>
        <w:t xml:space="preserve"> : </w:t>
      </w:r>
    </w:p>
    <w:p w14:paraId="374B1239" w14:textId="77777777" w:rsidR="007C1976" w:rsidRPr="004B5051" w:rsidRDefault="007C1976" w:rsidP="007C1976">
      <w:pPr>
        <w:pStyle w:val="Heading2"/>
        <w:ind w:left="1134" w:firstLine="1134"/>
        <w:jc w:val="left"/>
        <w:rPr>
          <w:rFonts w:ascii="Times New Roman" w:hAnsi="Times New Roman"/>
          <w:sz w:val="22"/>
          <w:szCs w:val="22"/>
        </w:rPr>
      </w:pPr>
      <w:r w:rsidRPr="004B5051">
        <w:rPr>
          <w:rFonts w:ascii="Times New Roman" w:hAnsi="Times New Roman"/>
          <w:sz w:val="22"/>
          <w:szCs w:val="22"/>
        </w:rPr>
        <w:t>Monsieur le Chef de la Section Contrats, Finances et Audits</w:t>
      </w:r>
    </w:p>
    <w:p w14:paraId="5606F331" w14:textId="77777777" w:rsidR="007C1976" w:rsidRPr="004B5051" w:rsidRDefault="007C1976" w:rsidP="007C1976">
      <w:pPr>
        <w:pStyle w:val="Heading2"/>
        <w:ind w:left="1134" w:firstLine="1134"/>
        <w:jc w:val="left"/>
        <w:rPr>
          <w:rFonts w:ascii="Times New Roman" w:hAnsi="Times New Roman"/>
          <w:sz w:val="22"/>
          <w:szCs w:val="22"/>
        </w:rPr>
      </w:pPr>
      <w:r w:rsidRPr="004B5051">
        <w:rPr>
          <w:rFonts w:ascii="Times New Roman" w:hAnsi="Times New Roman"/>
          <w:sz w:val="22"/>
          <w:szCs w:val="22"/>
        </w:rPr>
        <w:t>Délégation de l'Union Européenne à Madagascar</w:t>
      </w:r>
    </w:p>
    <w:p w14:paraId="63AC7A83" w14:textId="77777777" w:rsidR="007C1976" w:rsidRPr="004B5051" w:rsidRDefault="007C1976" w:rsidP="007C1976">
      <w:pPr>
        <w:pStyle w:val="Heading2"/>
        <w:ind w:left="1134" w:firstLine="1134"/>
        <w:jc w:val="left"/>
        <w:rPr>
          <w:rFonts w:ascii="Times New Roman" w:hAnsi="Times New Roman"/>
          <w:sz w:val="22"/>
          <w:szCs w:val="22"/>
        </w:rPr>
      </w:pPr>
      <w:r w:rsidRPr="004B5051">
        <w:rPr>
          <w:rFonts w:ascii="Times New Roman" w:hAnsi="Times New Roman"/>
          <w:sz w:val="22"/>
          <w:szCs w:val="22"/>
        </w:rPr>
        <w:t xml:space="preserve">Tour </w:t>
      </w:r>
      <w:proofErr w:type="spellStart"/>
      <w:r w:rsidRPr="004B5051">
        <w:rPr>
          <w:rFonts w:ascii="Times New Roman" w:hAnsi="Times New Roman"/>
          <w:sz w:val="22"/>
          <w:szCs w:val="22"/>
        </w:rPr>
        <w:t>Zital</w:t>
      </w:r>
      <w:proofErr w:type="spellEnd"/>
      <w:r w:rsidRPr="004B5051">
        <w:rPr>
          <w:rFonts w:ascii="Times New Roman" w:hAnsi="Times New Roman"/>
          <w:sz w:val="22"/>
          <w:szCs w:val="22"/>
        </w:rPr>
        <w:t xml:space="preserve"> - 9ème étage - </w:t>
      </w:r>
      <w:proofErr w:type="spellStart"/>
      <w:r w:rsidRPr="004B5051">
        <w:rPr>
          <w:rFonts w:ascii="Times New Roman" w:hAnsi="Times New Roman"/>
          <w:sz w:val="22"/>
          <w:szCs w:val="22"/>
        </w:rPr>
        <w:t>Ankorondrano</w:t>
      </w:r>
      <w:proofErr w:type="spellEnd"/>
      <w:r w:rsidRPr="004B5051">
        <w:rPr>
          <w:rFonts w:ascii="Times New Roman" w:hAnsi="Times New Roman"/>
          <w:sz w:val="22"/>
          <w:szCs w:val="22"/>
        </w:rPr>
        <w:t xml:space="preserve"> - BP 746,</w:t>
      </w:r>
    </w:p>
    <w:p w14:paraId="6AE4DA04" w14:textId="77777777" w:rsidR="007C1976" w:rsidRPr="0031275D" w:rsidRDefault="007C1976" w:rsidP="007C1976">
      <w:pPr>
        <w:pStyle w:val="Heading2"/>
        <w:ind w:left="1134" w:firstLine="1134"/>
        <w:jc w:val="left"/>
        <w:rPr>
          <w:rFonts w:ascii="Times New Roman" w:hAnsi="Times New Roman"/>
          <w:sz w:val="22"/>
          <w:szCs w:val="22"/>
          <w:lang w:val="es-ES"/>
        </w:rPr>
      </w:pPr>
      <w:r w:rsidRPr="0031275D">
        <w:rPr>
          <w:rFonts w:ascii="Times New Roman" w:hAnsi="Times New Roman"/>
          <w:sz w:val="22"/>
          <w:szCs w:val="22"/>
          <w:lang w:val="es-ES"/>
        </w:rPr>
        <w:t>101 Antananarivo, Madagascar</w:t>
      </w:r>
    </w:p>
    <w:p w14:paraId="688CB0E7" w14:textId="77777777" w:rsidR="007C1976" w:rsidRPr="0031275D" w:rsidRDefault="007C1976" w:rsidP="007C1976">
      <w:pPr>
        <w:pStyle w:val="Heading2"/>
        <w:ind w:left="1134" w:firstLine="1134"/>
        <w:jc w:val="left"/>
        <w:rPr>
          <w:rFonts w:ascii="Times New Roman" w:hAnsi="Times New Roman"/>
          <w:sz w:val="22"/>
          <w:szCs w:val="22"/>
          <w:lang w:val="es-ES"/>
        </w:rPr>
      </w:pPr>
      <w:r w:rsidRPr="0031275D">
        <w:rPr>
          <w:rFonts w:ascii="Times New Roman" w:hAnsi="Times New Roman"/>
          <w:sz w:val="22"/>
          <w:szCs w:val="22"/>
          <w:lang w:val="es-ES"/>
        </w:rPr>
        <w:t>Délégation-madagascar@eeas.europa.eu</w:t>
      </w:r>
    </w:p>
    <w:p w14:paraId="72893444" w14:textId="5BB22605" w:rsidR="007C1976" w:rsidRPr="0031275D" w:rsidRDefault="007C1976" w:rsidP="007C1976">
      <w:pPr>
        <w:spacing w:after="120"/>
        <w:ind w:left="1996" w:firstLine="164"/>
        <w:jc w:val="both"/>
        <w:rPr>
          <w:sz w:val="22"/>
          <w:szCs w:val="22"/>
          <w:lang w:val="es-ES"/>
        </w:rPr>
      </w:pPr>
    </w:p>
    <w:p w14:paraId="0ED06C43" w14:textId="77777777" w:rsidR="00B47A2A" w:rsidRPr="006015D0" w:rsidRDefault="00B47A2A" w:rsidP="0042293E">
      <w:pPr>
        <w:spacing w:after="120"/>
        <w:ind w:left="1276" w:hanging="1276"/>
        <w:jc w:val="both"/>
        <w:rPr>
          <w:b/>
          <w:szCs w:val="24"/>
        </w:rPr>
      </w:pPr>
      <w:r>
        <w:rPr>
          <w:b/>
          <w:szCs w:val="24"/>
        </w:rPr>
        <w:t>Article 46</w:t>
      </w:r>
      <w:r>
        <w:tab/>
      </w:r>
      <w:r>
        <w:rPr>
          <w:b/>
          <w:szCs w:val="24"/>
        </w:rPr>
        <w:t>Préfinancement</w:t>
      </w:r>
    </w:p>
    <w:p w14:paraId="561C84F8" w14:textId="77777777" w:rsidR="007C1976" w:rsidRDefault="00A12DBD" w:rsidP="0042293E">
      <w:pPr>
        <w:spacing w:after="120"/>
        <w:ind w:left="1276" w:hanging="709"/>
        <w:jc w:val="both"/>
        <w:rPr>
          <w:sz w:val="22"/>
        </w:rPr>
      </w:pPr>
      <w:r>
        <w:rPr>
          <w:sz w:val="22"/>
          <w:szCs w:val="22"/>
        </w:rPr>
        <w:t>46.1</w:t>
      </w:r>
      <w:r>
        <w:tab/>
      </w:r>
      <w:r w:rsidR="007C1976" w:rsidRPr="00F735F5">
        <w:rPr>
          <w:sz w:val="22"/>
        </w:rPr>
        <w:t xml:space="preserve">Des préfinancements peuvent être accordés au contractant, à sa demande, et avant le versement du premier acompte, pour des opérations liées à la mise en </w:t>
      </w:r>
      <w:r w:rsidR="007C1976">
        <w:rPr>
          <w:sz w:val="22"/>
        </w:rPr>
        <w:t xml:space="preserve">œuvre </w:t>
      </w:r>
      <w:r w:rsidR="007C1976" w:rsidRPr="00F735F5">
        <w:rPr>
          <w:sz w:val="22"/>
        </w:rPr>
        <w:t xml:space="preserve">des tâches, </w:t>
      </w:r>
      <w:r w:rsidR="007C1976">
        <w:rPr>
          <w:sz w:val="22"/>
        </w:rPr>
        <w:br/>
      </w:r>
      <w:r w:rsidR="007C1976" w:rsidRPr="00F735F5">
        <w:rPr>
          <w:sz w:val="22"/>
        </w:rPr>
        <w:t>dans les cas énumérés dans les conditions générales</w:t>
      </w:r>
    </w:p>
    <w:p w14:paraId="5021E8C9" w14:textId="289035BB" w:rsidR="007C1976" w:rsidRPr="00386D32" w:rsidRDefault="00A12DBD" w:rsidP="007C1976">
      <w:pPr>
        <w:spacing w:before="120" w:after="120"/>
        <w:ind w:left="1276" w:hanging="709"/>
        <w:jc w:val="both"/>
      </w:pPr>
      <w:r>
        <w:rPr>
          <w:sz w:val="22"/>
          <w:szCs w:val="22"/>
        </w:rPr>
        <w:t>46.2</w:t>
      </w:r>
      <w:r>
        <w:tab/>
      </w:r>
      <w:r w:rsidR="007C1976" w:rsidRPr="00386D32">
        <w:rPr>
          <w:sz w:val="22"/>
        </w:rPr>
        <w:t>Le montant total maximal des préfinancements ne peut dépasser 10 % du montant initial du marché pour l’avance forfaitaire et 20 % pour l’ensemble des autres préfinancements.</w:t>
      </w:r>
    </w:p>
    <w:p w14:paraId="3069DF23" w14:textId="534429B9" w:rsidR="0063160E" w:rsidRPr="006015D0" w:rsidRDefault="00A12DBD" w:rsidP="00533A18">
      <w:pPr>
        <w:keepNext/>
        <w:tabs>
          <w:tab w:val="left" w:pos="993"/>
        </w:tabs>
        <w:spacing w:after="120"/>
        <w:ind w:left="1276" w:hanging="709"/>
        <w:jc w:val="both"/>
        <w:rPr>
          <w:bCs/>
          <w:sz w:val="22"/>
          <w:szCs w:val="22"/>
        </w:rPr>
      </w:pPr>
      <w:r w:rsidRPr="00B67B8E">
        <w:rPr>
          <w:sz w:val="22"/>
          <w:szCs w:val="22"/>
        </w:rPr>
        <w:t>46.3 c)</w:t>
      </w:r>
      <w:r w:rsidRPr="00B67B8E">
        <w:tab/>
      </w:r>
      <w:r w:rsidR="0063160E" w:rsidRPr="00B67B8E">
        <w:rPr>
          <w:bCs/>
          <w:sz w:val="22"/>
          <w:szCs w:val="22"/>
        </w:rPr>
        <w:t xml:space="preserve">Lorsque i) le préfinancement demandé est inférieur ou égal à 300 000 EUR </w:t>
      </w:r>
      <w:r w:rsidR="0063160E" w:rsidRPr="00B67B8E">
        <w:rPr>
          <w:b/>
          <w:bCs/>
          <w:sz w:val="22"/>
          <w:szCs w:val="22"/>
        </w:rPr>
        <w:t>et</w:t>
      </w:r>
      <w:r w:rsidR="0063160E" w:rsidRPr="00B67B8E">
        <w:rPr>
          <w:bCs/>
          <w:sz w:val="22"/>
          <w:szCs w:val="22"/>
        </w:rPr>
        <w:t xml:space="preserve"> que ii) le maître d’ouvrage n’exige pas de garantie financière à la suite d’une évaluation des risques, aucune garantie de préfinancement n’est requise, par dérogation à l’article 46, paragraphe 3, point c), des conditions générales.</w:t>
      </w:r>
    </w:p>
    <w:p w14:paraId="2E752358" w14:textId="77777777" w:rsidR="001050EE" w:rsidRPr="006015D0" w:rsidRDefault="001050EE" w:rsidP="0042293E">
      <w:pPr>
        <w:spacing w:after="120"/>
        <w:ind w:left="1276" w:hanging="709"/>
        <w:jc w:val="both"/>
        <w:rPr>
          <w:sz w:val="22"/>
          <w:szCs w:val="22"/>
        </w:rPr>
      </w:pPr>
      <w:r>
        <w:rPr>
          <w:bCs/>
          <w:sz w:val="22"/>
          <w:szCs w:val="22"/>
        </w:rPr>
        <w:t>46.8</w:t>
      </w:r>
      <w:r>
        <w:tab/>
      </w:r>
      <w:r>
        <w:rPr>
          <w:sz w:val="22"/>
          <w:szCs w:val="22"/>
        </w:rPr>
        <w:t>Le remboursement des préfinancements s’effectue par retenues basées sur les déclarations de créances mensuelles.</w:t>
      </w:r>
    </w:p>
    <w:p w14:paraId="5ED9BD36" w14:textId="77777777" w:rsidR="001050EE" w:rsidRPr="006015D0" w:rsidRDefault="001050EE" w:rsidP="0042293E">
      <w:pPr>
        <w:numPr>
          <w:ilvl w:val="0"/>
          <w:numId w:val="6"/>
        </w:numPr>
        <w:spacing w:after="120"/>
        <w:ind w:left="1701"/>
        <w:jc w:val="both"/>
        <w:rPr>
          <w:sz w:val="22"/>
          <w:szCs w:val="22"/>
        </w:rPr>
      </w:pPr>
      <w:r>
        <w:rPr>
          <w:sz w:val="22"/>
          <w:szCs w:val="22"/>
        </w:rPr>
        <w:t>Le remboursement de l’avance forfaitaire (maximum 10 %) est effectué par précompte sur les acomptes et, éventuellement, sur le solde dû au contractant. Ce remboursement commence dès le premier acompte et doit être terminé au plus tard lorsque le montant payé atteint 80 % du montant du marché.</w:t>
      </w:r>
    </w:p>
    <w:p w14:paraId="623C9D14" w14:textId="77777777" w:rsidR="001050EE" w:rsidRPr="006015D0" w:rsidRDefault="001050EE" w:rsidP="0042293E">
      <w:pPr>
        <w:spacing w:after="120"/>
        <w:ind w:left="1701"/>
        <w:jc w:val="both"/>
        <w:rPr>
          <w:sz w:val="22"/>
          <w:szCs w:val="22"/>
        </w:rPr>
      </w:pPr>
      <w:r>
        <w:rPr>
          <w:sz w:val="22"/>
          <w:szCs w:val="22"/>
        </w:rPr>
        <w:lastRenderedPageBreak/>
        <w:t>Le remboursement est effectué dans la ou les mêmes monnaies que celle(s) de l’avance.</w:t>
      </w:r>
    </w:p>
    <w:p w14:paraId="4A62E7A6" w14:textId="77777777" w:rsidR="001050EE" w:rsidRPr="006015D0" w:rsidRDefault="001050EE" w:rsidP="0042293E">
      <w:pPr>
        <w:spacing w:after="120"/>
        <w:ind w:left="1701"/>
        <w:jc w:val="both"/>
        <w:rPr>
          <w:sz w:val="22"/>
          <w:szCs w:val="22"/>
        </w:rPr>
      </w:pPr>
      <w:r>
        <w:rPr>
          <w:sz w:val="22"/>
          <w:szCs w:val="22"/>
        </w:rPr>
        <w:t>Le calcul du montant des retenues est effectué au moyen de la formule suivante:</w:t>
      </w:r>
    </w:p>
    <w:p w14:paraId="4F5DADE9" w14:textId="77777777" w:rsidR="001050EE" w:rsidRPr="006015D0" w:rsidRDefault="001050EE" w:rsidP="0042293E">
      <w:pPr>
        <w:spacing w:after="120"/>
        <w:ind w:left="1701"/>
        <w:jc w:val="both"/>
        <w:rPr>
          <w:sz w:val="22"/>
          <w:szCs w:val="22"/>
        </w:rPr>
      </w:pPr>
      <w:r>
        <w:rPr>
          <w:sz w:val="22"/>
          <w:szCs w:val="22"/>
        </w:rPr>
        <w:object w:dxaOrig="1240" w:dyaOrig="620" w14:anchorId="5BF0E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1.5pt" o:ole="" fillcolor="window">
            <v:imagedata r:id="rId14" o:title=""/>
          </v:shape>
          <o:OLEObject Type="Embed" ProgID="Equation.3" ShapeID="_x0000_i1025" DrawAspect="Content" ObjectID="_1738488780" r:id="rId15"/>
        </w:object>
      </w:r>
    </w:p>
    <w:p w14:paraId="57E59EFB" w14:textId="77777777" w:rsidR="001050EE" w:rsidRPr="006015D0" w:rsidRDefault="001050EE" w:rsidP="0042293E">
      <w:pPr>
        <w:spacing w:after="120"/>
        <w:ind w:left="1701"/>
        <w:jc w:val="both"/>
        <w:rPr>
          <w:sz w:val="22"/>
          <w:szCs w:val="22"/>
        </w:rPr>
      </w:pPr>
      <w:r>
        <w:rPr>
          <w:sz w:val="22"/>
          <w:szCs w:val="22"/>
        </w:rPr>
        <w:t>dans laquelle:</w:t>
      </w:r>
    </w:p>
    <w:p w14:paraId="1F10ED22" w14:textId="77777777" w:rsidR="001050EE" w:rsidRPr="006015D0" w:rsidRDefault="001050EE" w:rsidP="0042293E">
      <w:pPr>
        <w:spacing w:after="120"/>
        <w:ind w:left="1701"/>
        <w:jc w:val="both"/>
        <w:rPr>
          <w:sz w:val="22"/>
          <w:szCs w:val="22"/>
        </w:rPr>
      </w:pPr>
      <w:r>
        <w:rPr>
          <w:sz w:val="22"/>
          <w:szCs w:val="22"/>
        </w:rPr>
        <w:t>R = montant à rembourser</w:t>
      </w:r>
    </w:p>
    <w:p w14:paraId="6766050B" w14:textId="77777777" w:rsidR="001050EE" w:rsidRPr="006015D0" w:rsidRDefault="001050EE" w:rsidP="0042293E">
      <w:pPr>
        <w:spacing w:after="120"/>
        <w:ind w:left="1701"/>
        <w:jc w:val="both"/>
        <w:rPr>
          <w:sz w:val="22"/>
          <w:szCs w:val="22"/>
        </w:rPr>
      </w:pPr>
      <w:r>
        <w:rPr>
          <w:sz w:val="22"/>
          <w:szCs w:val="22"/>
        </w:rPr>
        <w:t>Va = montant total du préfinancement consenti</w:t>
      </w:r>
    </w:p>
    <w:p w14:paraId="4FDC7314" w14:textId="77777777" w:rsidR="001050EE" w:rsidRPr="006015D0" w:rsidRDefault="001050EE" w:rsidP="0042293E">
      <w:pPr>
        <w:spacing w:after="120"/>
        <w:ind w:left="1701"/>
        <w:jc w:val="both"/>
        <w:rPr>
          <w:sz w:val="22"/>
          <w:szCs w:val="22"/>
        </w:rPr>
      </w:pPr>
      <w:r>
        <w:rPr>
          <w:sz w:val="22"/>
          <w:szCs w:val="22"/>
        </w:rPr>
        <w:t>Vt = montant initial du marché</w:t>
      </w:r>
    </w:p>
    <w:p w14:paraId="57379850" w14:textId="77777777" w:rsidR="001050EE" w:rsidRPr="006015D0" w:rsidRDefault="001050EE" w:rsidP="0042293E">
      <w:pPr>
        <w:spacing w:after="120"/>
        <w:ind w:left="1701"/>
        <w:jc w:val="both"/>
        <w:rPr>
          <w:sz w:val="22"/>
          <w:szCs w:val="22"/>
        </w:rPr>
      </w:pPr>
      <w:r>
        <w:rPr>
          <w:sz w:val="22"/>
          <w:szCs w:val="22"/>
        </w:rPr>
        <w:t>D = montant de l’acompte</w:t>
      </w:r>
    </w:p>
    <w:p w14:paraId="0ADB0AEF" w14:textId="77777777" w:rsidR="001050EE" w:rsidRPr="006015D0" w:rsidRDefault="001050EE" w:rsidP="0042293E">
      <w:pPr>
        <w:spacing w:after="120"/>
        <w:ind w:left="1701"/>
        <w:jc w:val="both"/>
        <w:rPr>
          <w:sz w:val="22"/>
          <w:szCs w:val="22"/>
        </w:rPr>
      </w:pPr>
      <w:r>
        <w:rPr>
          <w:sz w:val="22"/>
          <w:szCs w:val="22"/>
        </w:rPr>
        <w:t>Le calcul est poussé jusqu’à la deuxième décimale arrondie au chiffre supérieur.</w:t>
      </w:r>
    </w:p>
    <w:p w14:paraId="103F2C73" w14:textId="77777777" w:rsidR="001050EE" w:rsidRPr="006015D0" w:rsidRDefault="001050EE" w:rsidP="0042293E">
      <w:pPr>
        <w:numPr>
          <w:ilvl w:val="0"/>
          <w:numId w:val="6"/>
        </w:numPr>
        <w:spacing w:after="120"/>
        <w:ind w:left="1701"/>
        <w:jc w:val="both"/>
        <w:rPr>
          <w:sz w:val="22"/>
          <w:szCs w:val="22"/>
        </w:rPr>
      </w:pPr>
      <w:r>
        <w:rPr>
          <w:sz w:val="22"/>
          <w:szCs w:val="22"/>
        </w:rPr>
        <w:t>Le remboursement du préfinancement sur les équipements, machines et outillages, ainsi que du préfinancement sur d’autres dépenses préalables importantes (20 % au maximum), est effectué par précompte sur les acomptes et, éventuellement, sur le solde dû au contractant. Ce remboursement commence dès le premier acompte et doit être terminé au plus tard lorsque le montant payé au titre du marché atteint 90 % du montant du marché.</w:t>
      </w:r>
    </w:p>
    <w:p w14:paraId="6298DF0A" w14:textId="494E4F91" w:rsidR="001050EE" w:rsidRPr="006015D0" w:rsidRDefault="001050EE" w:rsidP="0042293E">
      <w:pPr>
        <w:spacing w:after="120"/>
        <w:ind w:left="1701"/>
        <w:jc w:val="both"/>
        <w:rPr>
          <w:sz w:val="22"/>
          <w:szCs w:val="22"/>
        </w:rPr>
      </w:pPr>
      <w:r>
        <w:rPr>
          <w:sz w:val="22"/>
          <w:szCs w:val="22"/>
        </w:rPr>
        <w:t>Le calcul du montant des retenues est effectué au moyen de la formule suivante</w:t>
      </w:r>
      <w:r w:rsidR="00617532">
        <w:rPr>
          <w:sz w:val="22"/>
          <w:szCs w:val="22"/>
        </w:rPr>
        <w:t xml:space="preserve"> </w:t>
      </w:r>
      <w:r>
        <w:rPr>
          <w:sz w:val="22"/>
          <w:szCs w:val="22"/>
        </w:rPr>
        <w:t>:</w:t>
      </w:r>
    </w:p>
    <w:p w14:paraId="1DB1635E" w14:textId="77777777" w:rsidR="001050EE" w:rsidRPr="006015D0" w:rsidRDefault="001050EE" w:rsidP="0042293E">
      <w:pPr>
        <w:spacing w:after="120"/>
        <w:ind w:left="1701"/>
        <w:jc w:val="both"/>
        <w:rPr>
          <w:sz w:val="22"/>
          <w:szCs w:val="22"/>
        </w:rPr>
      </w:pPr>
      <w:r>
        <w:rPr>
          <w:sz w:val="22"/>
          <w:szCs w:val="22"/>
        </w:rPr>
        <w:object w:dxaOrig="1240" w:dyaOrig="620" w14:anchorId="42F3467C">
          <v:shape id="_x0000_i1026" type="#_x0000_t75" style="width:61.5pt;height:31.5pt" o:ole="" fillcolor="window">
            <v:imagedata r:id="rId16" o:title=""/>
          </v:shape>
          <o:OLEObject Type="Embed" ProgID="Equation.3" ShapeID="_x0000_i1026" DrawAspect="Content" ObjectID="_1738488781" r:id="rId17"/>
        </w:object>
      </w:r>
    </w:p>
    <w:p w14:paraId="393DD3BB" w14:textId="77777777" w:rsidR="001050EE" w:rsidRPr="006015D0" w:rsidRDefault="001050EE" w:rsidP="0042293E">
      <w:pPr>
        <w:spacing w:after="120"/>
        <w:ind w:left="1701"/>
        <w:jc w:val="both"/>
        <w:rPr>
          <w:sz w:val="22"/>
          <w:szCs w:val="22"/>
        </w:rPr>
      </w:pPr>
      <w:r>
        <w:rPr>
          <w:sz w:val="22"/>
          <w:szCs w:val="22"/>
        </w:rPr>
        <w:t>dans laquelle:</w:t>
      </w:r>
    </w:p>
    <w:p w14:paraId="13F08AD2" w14:textId="77777777" w:rsidR="001050EE" w:rsidRPr="006015D0" w:rsidRDefault="001050EE" w:rsidP="0042293E">
      <w:pPr>
        <w:spacing w:after="120"/>
        <w:ind w:left="1701"/>
        <w:jc w:val="both"/>
        <w:rPr>
          <w:sz w:val="22"/>
          <w:szCs w:val="22"/>
        </w:rPr>
      </w:pPr>
      <w:r>
        <w:rPr>
          <w:sz w:val="22"/>
          <w:szCs w:val="22"/>
        </w:rPr>
        <w:t>R = montant à rembourser</w:t>
      </w:r>
    </w:p>
    <w:p w14:paraId="0E0A649F" w14:textId="77777777" w:rsidR="001050EE" w:rsidRPr="006015D0" w:rsidRDefault="001050EE" w:rsidP="0042293E">
      <w:pPr>
        <w:spacing w:after="120"/>
        <w:ind w:left="1701"/>
        <w:jc w:val="both"/>
        <w:rPr>
          <w:sz w:val="22"/>
          <w:szCs w:val="22"/>
        </w:rPr>
      </w:pPr>
      <w:r>
        <w:rPr>
          <w:sz w:val="22"/>
          <w:szCs w:val="22"/>
        </w:rPr>
        <w:t>Va = montant total du préfinancement consenti</w:t>
      </w:r>
    </w:p>
    <w:p w14:paraId="3FC2E26E" w14:textId="77777777" w:rsidR="001050EE" w:rsidRPr="006015D0" w:rsidRDefault="001050EE" w:rsidP="0042293E">
      <w:pPr>
        <w:spacing w:after="120"/>
        <w:ind w:left="1701"/>
        <w:jc w:val="both"/>
        <w:rPr>
          <w:sz w:val="22"/>
          <w:szCs w:val="22"/>
        </w:rPr>
      </w:pPr>
      <w:r>
        <w:rPr>
          <w:sz w:val="22"/>
          <w:szCs w:val="22"/>
        </w:rPr>
        <w:t>Vt = montant initial du marché</w:t>
      </w:r>
    </w:p>
    <w:p w14:paraId="3275786B" w14:textId="4EF0738C" w:rsidR="001050EE" w:rsidRDefault="001050EE" w:rsidP="0042293E">
      <w:pPr>
        <w:spacing w:after="120"/>
        <w:ind w:left="1701"/>
        <w:jc w:val="both"/>
        <w:rPr>
          <w:sz w:val="22"/>
          <w:szCs w:val="22"/>
        </w:rPr>
      </w:pPr>
      <w:r>
        <w:rPr>
          <w:sz w:val="22"/>
          <w:szCs w:val="22"/>
        </w:rPr>
        <w:t>D = montant de l’acompte</w:t>
      </w:r>
    </w:p>
    <w:p w14:paraId="798D928E" w14:textId="77777777" w:rsidR="001257A7" w:rsidRDefault="001257A7" w:rsidP="0042293E">
      <w:pPr>
        <w:spacing w:after="120"/>
        <w:ind w:left="1701"/>
        <w:jc w:val="both"/>
        <w:rPr>
          <w:sz w:val="22"/>
          <w:szCs w:val="22"/>
        </w:rPr>
      </w:pPr>
    </w:p>
    <w:p w14:paraId="5F996E45" w14:textId="77777777" w:rsidR="001050EE" w:rsidRPr="006015D0" w:rsidRDefault="001050EE" w:rsidP="0042293E">
      <w:pPr>
        <w:spacing w:after="120"/>
        <w:ind w:left="1276" w:hanging="1276"/>
        <w:jc w:val="both"/>
        <w:rPr>
          <w:b/>
          <w:szCs w:val="24"/>
        </w:rPr>
      </w:pPr>
      <w:r>
        <w:rPr>
          <w:b/>
          <w:szCs w:val="24"/>
        </w:rPr>
        <w:t>Article 47</w:t>
      </w:r>
      <w:r>
        <w:tab/>
      </w:r>
      <w:r>
        <w:rPr>
          <w:b/>
          <w:szCs w:val="24"/>
        </w:rPr>
        <w:t>Retenues de garantie</w:t>
      </w:r>
    </w:p>
    <w:p w14:paraId="1C283F42" w14:textId="12950776" w:rsidR="001050EE" w:rsidRPr="00617532" w:rsidRDefault="001050EE" w:rsidP="0042293E">
      <w:pPr>
        <w:spacing w:after="120"/>
        <w:ind w:left="1276" w:hanging="709"/>
        <w:jc w:val="both"/>
        <w:rPr>
          <w:sz w:val="22"/>
          <w:szCs w:val="22"/>
        </w:rPr>
      </w:pPr>
      <w:r>
        <w:rPr>
          <w:bCs/>
          <w:sz w:val="22"/>
          <w:szCs w:val="22"/>
        </w:rPr>
        <w:t>47.1</w:t>
      </w:r>
      <w:r>
        <w:tab/>
      </w:r>
      <w:r w:rsidR="0082336C" w:rsidRPr="00617532">
        <w:rPr>
          <w:sz w:val="22"/>
          <w:szCs w:val="22"/>
        </w:rPr>
        <w:t>L</w:t>
      </w:r>
      <w:r w:rsidRPr="00617532">
        <w:rPr>
          <w:sz w:val="22"/>
          <w:szCs w:val="22"/>
        </w:rPr>
        <w:t xml:space="preserve">e montant des prélèvements sur les acomptes qui doit être retenu en garantie de l’exécution des obligations du contractant pendant la période de garantie est de </w:t>
      </w:r>
      <w:r w:rsidRPr="00617532">
        <w:rPr>
          <w:b/>
          <w:sz w:val="22"/>
          <w:szCs w:val="22"/>
        </w:rPr>
        <w:t>10 %</w:t>
      </w:r>
      <w:r w:rsidRPr="00617532">
        <w:rPr>
          <w:sz w:val="22"/>
          <w:szCs w:val="22"/>
        </w:rPr>
        <w:t xml:space="preserve"> de chaque acompte</w:t>
      </w:r>
      <w:r w:rsidR="00453832" w:rsidRPr="00617532">
        <w:rPr>
          <w:sz w:val="22"/>
          <w:szCs w:val="22"/>
        </w:rPr>
        <w:t xml:space="preserve">. </w:t>
      </w:r>
    </w:p>
    <w:p w14:paraId="0C5DFA91" w14:textId="0C623F55" w:rsidR="00453832" w:rsidRPr="00617532" w:rsidRDefault="00453832" w:rsidP="00533A18">
      <w:pPr>
        <w:spacing w:after="120"/>
        <w:ind w:left="1276"/>
        <w:jc w:val="both"/>
        <w:rPr>
          <w:bCs/>
          <w:sz w:val="22"/>
          <w:szCs w:val="22"/>
        </w:rPr>
      </w:pPr>
      <w:r w:rsidRPr="00617532">
        <w:rPr>
          <w:sz w:val="22"/>
        </w:rPr>
        <w:t>Si pour quelque raison que soit, le contractant, refuse de corriger les imperfections et/ou défauts relevés pendant la période de garantie des travaux, le montant de cette retenue de garantie sera acquis au profit du maître d’ouvrage et utilisé à l’achèvement et la restauration des travaux.</w:t>
      </w:r>
    </w:p>
    <w:p w14:paraId="52098830" w14:textId="0717158E" w:rsidR="005D2C86" w:rsidRPr="006015D0" w:rsidRDefault="005D2C86" w:rsidP="005D2C86">
      <w:pPr>
        <w:spacing w:before="240"/>
        <w:ind w:left="1276" w:hanging="1276"/>
        <w:jc w:val="both"/>
        <w:rPr>
          <w:b/>
          <w:szCs w:val="24"/>
        </w:rPr>
      </w:pPr>
      <w:r>
        <w:rPr>
          <w:b/>
          <w:szCs w:val="24"/>
        </w:rPr>
        <w:t>Article 48</w:t>
      </w:r>
      <w:r>
        <w:tab/>
      </w:r>
      <w:r>
        <w:rPr>
          <w:b/>
          <w:szCs w:val="24"/>
        </w:rPr>
        <w:t>Révision des prix</w:t>
      </w:r>
    </w:p>
    <w:p w14:paraId="1EA8B89B" w14:textId="07ACDC17" w:rsidR="005D2C86" w:rsidRPr="006015D0" w:rsidRDefault="005D2C86" w:rsidP="00C85DAE">
      <w:pPr>
        <w:spacing w:before="120" w:after="120"/>
        <w:ind w:left="1276" w:hanging="709"/>
        <w:jc w:val="both"/>
        <w:rPr>
          <w:sz w:val="22"/>
          <w:szCs w:val="22"/>
        </w:rPr>
      </w:pPr>
      <w:r>
        <w:rPr>
          <w:sz w:val="22"/>
          <w:szCs w:val="22"/>
        </w:rPr>
        <w:t>48.1</w:t>
      </w:r>
      <w:r>
        <w:tab/>
      </w:r>
      <w:r>
        <w:rPr>
          <w:sz w:val="22"/>
          <w:szCs w:val="22"/>
        </w:rPr>
        <w:t xml:space="preserve">Les prix figurant dans la soumission du contractant sont réputés avoir été établis sur la base des conditions économiques en vigueur 30 jours avant le dernier délai fixé pour la remise des offres (date de référence = </w:t>
      </w:r>
      <w:r w:rsidR="00C85DAE">
        <w:rPr>
          <w:sz w:val="22"/>
          <w:szCs w:val="22"/>
        </w:rPr>
        <w:t>Mars 2023</w:t>
      </w:r>
      <w:r>
        <w:rPr>
          <w:sz w:val="22"/>
          <w:szCs w:val="22"/>
        </w:rPr>
        <w:t>). En cas de variation des conditions économiques en cours de travaux, les décomptes mensuels seront réajustés par application des formules de révision indiquées à l’article 48, paragraphe 2.</w:t>
      </w:r>
    </w:p>
    <w:p w14:paraId="49BEC569" w14:textId="77777777" w:rsidR="005D2C86" w:rsidRPr="006015D0" w:rsidRDefault="005D2C86" w:rsidP="00C85DAE">
      <w:pPr>
        <w:spacing w:before="120" w:after="120"/>
        <w:ind w:left="1276" w:hanging="709"/>
        <w:jc w:val="both"/>
        <w:rPr>
          <w:sz w:val="22"/>
          <w:szCs w:val="22"/>
        </w:rPr>
      </w:pPr>
      <w:r>
        <w:rPr>
          <w:sz w:val="22"/>
          <w:szCs w:val="22"/>
        </w:rPr>
        <w:t>48.2</w:t>
      </w:r>
      <w:r>
        <w:tab/>
      </w:r>
      <w:r>
        <w:rPr>
          <w:sz w:val="22"/>
          <w:szCs w:val="22"/>
        </w:rPr>
        <w:t xml:space="preserve">La révision des prix est calculée par application des deux formules (a) formule mono-matériaux et (b) formule proportionnelle suivantes: </w:t>
      </w:r>
    </w:p>
    <w:p w14:paraId="36A82257" w14:textId="77777777" w:rsidR="005D2C86" w:rsidRPr="006015D0" w:rsidRDefault="005D2C86" w:rsidP="005D2C86">
      <w:pPr>
        <w:numPr>
          <w:ilvl w:val="0"/>
          <w:numId w:val="8"/>
        </w:numPr>
        <w:spacing w:after="120"/>
        <w:ind w:left="1701"/>
        <w:jc w:val="both"/>
        <w:rPr>
          <w:sz w:val="22"/>
          <w:szCs w:val="22"/>
        </w:rPr>
      </w:pPr>
      <w:r>
        <w:rPr>
          <w:sz w:val="22"/>
          <w:szCs w:val="22"/>
        </w:rPr>
        <w:lastRenderedPageBreak/>
        <w:t>la formule mono-matériaux sera utilisée aux prix unitaires indiqués au détail estimatif:</w:t>
      </w:r>
    </w:p>
    <w:p w14:paraId="6BA77B82" w14:textId="1CFEC80C" w:rsidR="00D64598" w:rsidRPr="00D64598" w:rsidRDefault="00D64598" w:rsidP="00D64598">
      <w:pPr>
        <w:numPr>
          <w:ilvl w:val="0"/>
          <w:numId w:val="9"/>
        </w:numPr>
        <w:ind w:left="2126" w:hanging="357"/>
        <w:rPr>
          <w:sz w:val="22"/>
          <w:szCs w:val="22"/>
        </w:rPr>
      </w:pPr>
      <w:r w:rsidRPr="00D64598">
        <w:rPr>
          <w:sz w:val="22"/>
          <w:szCs w:val="22"/>
        </w:rPr>
        <w:t xml:space="preserve">Prix </w:t>
      </w:r>
      <w:r>
        <w:rPr>
          <w:sz w:val="22"/>
          <w:szCs w:val="22"/>
        </w:rPr>
        <w:t xml:space="preserve">n° </w:t>
      </w:r>
      <w:r w:rsidRPr="00D64598">
        <w:rPr>
          <w:sz w:val="22"/>
          <w:szCs w:val="22"/>
        </w:rPr>
        <w:t>200-1 : Béton de propreté dosé à 150 kg/m3 (C16/20 B1) : ciment</w:t>
      </w:r>
    </w:p>
    <w:p w14:paraId="133A1B5F" w14:textId="4850B286" w:rsidR="00D64598" w:rsidRPr="00D64598" w:rsidRDefault="00D64598" w:rsidP="00D64598">
      <w:pPr>
        <w:numPr>
          <w:ilvl w:val="0"/>
          <w:numId w:val="9"/>
        </w:numPr>
        <w:ind w:left="2126" w:hanging="357"/>
        <w:rPr>
          <w:sz w:val="22"/>
          <w:szCs w:val="22"/>
        </w:rPr>
      </w:pPr>
      <w:r w:rsidRPr="00D64598">
        <w:rPr>
          <w:sz w:val="22"/>
          <w:szCs w:val="22"/>
        </w:rPr>
        <w:t xml:space="preserve">Prix </w:t>
      </w:r>
      <w:r>
        <w:rPr>
          <w:sz w:val="22"/>
          <w:szCs w:val="22"/>
        </w:rPr>
        <w:t xml:space="preserve">n° </w:t>
      </w:r>
      <w:r w:rsidRPr="00D64598">
        <w:rPr>
          <w:sz w:val="22"/>
          <w:szCs w:val="22"/>
        </w:rPr>
        <w:t xml:space="preserve">200-2 : Béton armé dosé à 350 kg/m3 (C30/37 B3) : ciment </w:t>
      </w:r>
    </w:p>
    <w:p w14:paraId="3738C9C7" w14:textId="54ED73D1" w:rsidR="00D64598" w:rsidRPr="00D64598" w:rsidRDefault="00D64598" w:rsidP="00D64598">
      <w:pPr>
        <w:numPr>
          <w:ilvl w:val="0"/>
          <w:numId w:val="9"/>
        </w:numPr>
        <w:ind w:left="2126" w:hanging="357"/>
        <w:rPr>
          <w:sz w:val="22"/>
          <w:szCs w:val="22"/>
        </w:rPr>
      </w:pPr>
      <w:r w:rsidRPr="00D64598">
        <w:rPr>
          <w:sz w:val="22"/>
          <w:szCs w:val="22"/>
        </w:rPr>
        <w:t xml:space="preserve">Prix </w:t>
      </w:r>
      <w:r>
        <w:rPr>
          <w:sz w:val="22"/>
          <w:szCs w:val="22"/>
        </w:rPr>
        <w:t xml:space="preserve">n° </w:t>
      </w:r>
      <w:r w:rsidRPr="00D64598">
        <w:rPr>
          <w:sz w:val="22"/>
          <w:szCs w:val="22"/>
        </w:rPr>
        <w:t xml:space="preserve">201 : Acier pour armature : acier </w:t>
      </w:r>
    </w:p>
    <w:p w14:paraId="527DEB69" w14:textId="77777777" w:rsidR="00D64598" w:rsidRPr="006015D0" w:rsidRDefault="00D64598" w:rsidP="00D64598">
      <w:pPr>
        <w:ind w:left="2126"/>
        <w:rPr>
          <w:sz w:val="22"/>
          <w:szCs w:val="22"/>
        </w:rPr>
      </w:pPr>
    </w:p>
    <w:p w14:paraId="0BA9208E" w14:textId="77777777" w:rsidR="005D2C86" w:rsidRPr="006015D0" w:rsidRDefault="005D2C86" w:rsidP="00C85DAE">
      <w:pPr>
        <w:spacing w:after="120"/>
        <w:ind w:left="1701"/>
        <w:jc w:val="both"/>
        <w:rPr>
          <w:sz w:val="22"/>
          <w:szCs w:val="22"/>
        </w:rPr>
      </w:pPr>
      <w:r>
        <w:rPr>
          <w:sz w:val="22"/>
          <w:szCs w:val="22"/>
        </w:rPr>
        <w:t>La révision de la liste des prix unitaires est calculée en révisant le prix de leurs matériaux respectifs ou intrants dans la ventilation détaillée des prix par application de la formule ci-dessous:</w:t>
      </w:r>
    </w:p>
    <w:p w14:paraId="72529E35" w14:textId="77777777" w:rsidR="005D2C86" w:rsidRPr="006015D0" w:rsidRDefault="005D2C86" w:rsidP="005D2C86">
      <w:pPr>
        <w:spacing w:after="120"/>
        <w:ind w:left="1701"/>
      </w:pPr>
      <w:r>
        <w:object w:dxaOrig="2140" w:dyaOrig="720" w14:anchorId="06C1CA36">
          <v:shape id="_x0000_i1027" type="#_x0000_t75" style="width:127.5pt;height:42.75pt" o:ole="">
            <v:imagedata r:id="rId18" o:title=""/>
          </v:shape>
          <o:OLEObject Type="Embed" ProgID="Equation.3" ShapeID="_x0000_i1027" DrawAspect="Content" ObjectID="_1738488782" r:id="rId19"/>
        </w:object>
      </w:r>
    </w:p>
    <w:p w14:paraId="668C410D" w14:textId="77777777" w:rsidR="005D2C86" w:rsidRPr="006015D0" w:rsidRDefault="005D2C86" w:rsidP="005D2C86">
      <w:pPr>
        <w:tabs>
          <w:tab w:val="left" w:pos="2410"/>
        </w:tabs>
        <w:ind w:left="2410" w:hanging="709"/>
        <w:jc w:val="both"/>
        <w:rPr>
          <w:sz w:val="22"/>
          <w:szCs w:val="22"/>
        </w:rPr>
      </w:pPr>
      <w:r>
        <w:rPr>
          <w:sz w:val="22"/>
          <w:szCs w:val="22"/>
        </w:rPr>
        <w:t xml:space="preserve">dans laquelle: </w:t>
      </w:r>
    </w:p>
    <w:p w14:paraId="2DA87BD8" w14:textId="77777777" w:rsidR="005D2C86" w:rsidRPr="006015D0" w:rsidRDefault="006D15C4" w:rsidP="005D2C86">
      <w:pPr>
        <w:tabs>
          <w:tab w:val="left" w:pos="2410"/>
        </w:tabs>
        <w:ind w:left="2410" w:hanging="709"/>
        <w:jc w:val="both"/>
        <w:rPr>
          <w:sz w:val="20"/>
        </w:rPr>
      </w:pPr>
      <w:r>
        <w:rPr>
          <w:sz w:val="20"/>
        </w:rPr>
        <w:pict w14:anchorId="53773855">
          <v:shape id="_x0000_i1028" type="#_x0000_t75" style="width:25.5pt;height:18.75pt">
            <v:imagedata r:id="rId20" o:title=""/>
          </v:shape>
        </w:pict>
      </w:r>
      <w:r w:rsidR="005D2C86">
        <w:t xml:space="preserve"> prix unitaire du matériau (considéré dans la ventilation détaillée des prix) à la date de référence</w:t>
      </w:r>
    </w:p>
    <w:p w14:paraId="33A3EB6E" w14:textId="77777777" w:rsidR="005D2C86" w:rsidRPr="006015D0" w:rsidRDefault="006D15C4" w:rsidP="005D2C86">
      <w:pPr>
        <w:tabs>
          <w:tab w:val="left" w:pos="2410"/>
        </w:tabs>
        <w:ind w:left="2410" w:hanging="709"/>
        <w:jc w:val="both"/>
        <w:rPr>
          <w:sz w:val="20"/>
        </w:rPr>
      </w:pPr>
      <w:r>
        <w:rPr>
          <w:sz w:val="20"/>
        </w:rPr>
        <w:pict w14:anchorId="1FB8EFFE">
          <v:shape id="_x0000_i1029" type="#_x0000_t75" style="width:25.5pt;height:18.75pt">
            <v:imagedata r:id="rId21" o:title=""/>
          </v:shape>
        </w:pict>
      </w:r>
      <w:r w:rsidR="005D2C86">
        <w:t xml:space="preserve"> prix unitaire du matériau révisé (considéré dans la ventilation détaillée des prix) au mois n</w:t>
      </w:r>
    </w:p>
    <w:p w14:paraId="328BAC42" w14:textId="77777777" w:rsidR="005D2C86" w:rsidRPr="006015D0" w:rsidRDefault="005D2C86" w:rsidP="005D2C86">
      <w:pPr>
        <w:tabs>
          <w:tab w:val="left" w:pos="2410"/>
        </w:tabs>
        <w:ind w:left="2410" w:hanging="709"/>
        <w:jc w:val="both"/>
        <w:rPr>
          <w:sz w:val="20"/>
        </w:rPr>
      </w:pPr>
      <w:r>
        <w:rPr>
          <w:sz w:val="20"/>
        </w:rPr>
        <w:t>Mat</w:t>
      </w:r>
      <w:r>
        <w:rPr>
          <w:sz w:val="20"/>
          <w:vertAlign w:val="subscript"/>
        </w:rPr>
        <w:t>0</w:t>
      </w:r>
      <w:r>
        <w:rPr>
          <w:sz w:val="20"/>
        </w:rPr>
        <w:t xml:space="preserve"> =</w:t>
      </w:r>
      <w:r>
        <w:tab/>
      </w:r>
      <w:r>
        <w:rPr>
          <w:sz w:val="20"/>
        </w:rPr>
        <w:t>prix officiel de la fourniture ou indice pertinent du matériau considéré et défini dans la soumission à la date de référence</w:t>
      </w:r>
    </w:p>
    <w:p w14:paraId="335C3CE4" w14:textId="77777777" w:rsidR="005D2C86" w:rsidRPr="006015D0" w:rsidRDefault="005D2C86" w:rsidP="005D2C86">
      <w:pPr>
        <w:tabs>
          <w:tab w:val="left" w:pos="2410"/>
        </w:tabs>
        <w:ind w:left="2410" w:hanging="709"/>
        <w:jc w:val="both"/>
        <w:rPr>
          <w:sz w:val="20"/>
        </w:rPr>
      </w:pPr>
      <w:proofErr w:type="spellStart"/>
      <w:r>
        <w:rPr>
          <w:sz w:val="20"/>
        </w:rPr>
        <w:t>Mat</w:t>
      </w:r>
      <w:r>
        <w:rPr>
          <w:sz w:val="20"/>
          <w:vertAlign w:val="subscript"/>
        </w:rPr>
        <w:t>n</w:t>
      </w:r>
      <w:proofErr w:type="spellEnd"/>
      <w:r>
        <w:rPr>
          <w:sz w:val="20"/>
        </w:rPr>
        <w:t xml:space="preserve"> =</w:t>
      </w:r>
      <w:r>
        <w:tab/>
      </w:r>
      <w:r>
        <w:rPr>
          <w:sz w:val="20"/>
        </w:rPr>
        <w:t>prix officiel de la fourniture ou indice pertinent du matériau considéré mis en œuvre au mois n</w:t>
      </w:r>
    </w:p>
    <w:p w14:paraId="7498B34B" w14:textId="77777777" w:rsidR="005D2C86" w:rsidRDefault="005D2C86" w:rsidP="005D2C86">
      <w:pPr>
        <w:tabs>
          <w:tab w:val="left" w:pos="2410"/>
        </w:tabs>
        <w:ind w:left="2410" w:hanging="709"/>
        <w:jc w:val="both"/>
        <w:rPr>
          <w:sz w:val="20"/>
        </w:rPr>
      </w:pPr>
      <w:r>
        <w:rPr>
          <w:sz w:val="20"/>
        </w:rPr>
        <w:t>Tx</w:t>
      </w:r>
      <w:r>
        <w:rPr>
          <w:sz w:val="20"/>
          <w:vertAlign w:val="subscript"/>
        </w:rPr>
        <w:t>0</w:t>
      </w:r>
      <w:r>
        <w:rPr>
          <w:sz w:val="20"/>
        </w:rPr>
        <w:t xml:space="preserve"> =</w:t>
      </w:r>
      <w:r>
        <w:tab/>
      </w:r>
      <w:r>
        <w:rPr>
          <w:sz w:val="20"/>
        </w:rPr>
        <w:t xml:space="preserve">taux de change entre la monnaie </w:t>
      </w:r>
      <w:proofErr w:type="spellStart"/>
      <w:r>
        <w:rPr>
          <w:sz w:val="20"/>
        </w:rPr>
        <w:t>monnaie</w:t>
      </w:r>
      <w:proofErr w:type="spellEnd"/>
      <w:r>
        <w:rPr>
          <w:sz w:val="20"/>
        </w:rPr>
        <w:t xml:space="preserve"> de l’indicateur Mat</w:t>
      </w:r>
      <w:r>
        <w:rPr>
          <w:sz w:val="20"/>
          <w:vertAlign w:val="subscript"/>
        </w:rPr>
        <w:t>0</w:t>
      </w:r>
      <w:r>
        <w:rPr>
          <w:sz w:val="20"/>
        </w:rPr>
        <w:t xml:space="preserve"> «C» et la monnaie de paiement du marché «E» (conformément à l’article 44, paragraphe 1) à la date de référence: 1 C = TX</w:t>
      </w:r>
      <w:r>
        <w:rPr>
          <w:sz w:val="20"/>
          <w:vertAlign w:val="subscript"/>
        </w:rPr>
        <w:t>0</w:t>
      </w:r>
      <w:r>
        <w:rPr>
          <w:sz w:val="20"/>
        </w:rPr>
        <w:t xml:space="preserve"> E</w:t>
      </w:r>
    </w:p>
    <w:p w14:paraId="2123347E" w14:textId="77777777" w:rsidR="005D2C86" w:rsidRPr="006015D0" w:rsidRDefault="005D2C86" w:rsidP="005D2C86">
      <w:pPr>
        <w:tabs>
          <w:tab w:val="left" w:pos="2410"/>
        </w:tabs>
        <w:ind w:left="2410" w:hanging="709"/>
        <w:jc w:val="both"/>
        <w:rPr>
          <w:sz w:val="20"/>
        </w:rPr>
      </w:pPr>
      <w:r>
        <w:tab/>
      </w:r>
      <w:r>
        <w:rPr>
          <w:sz w:val="20"/>
        </w:rPr>
        <w:t xml:space="preserve">Les taux de change sont ceux publiés sur le site internet </w:t>
      </w:r>
      <w:proofErr w:type="spellStart"/>
      <w:r>
        <w:rPr>
          <w:sz w:val="20"/>
        </w:rPr>
        <w:t>InforEuro</w:t>
      </w:r>
      <w:proofErr w:type="spellEnd"/>
      <w:r>
        <w:rPr>
          <w:sz w:val="20"/>
        </w:rPr>
        <w:t>, actuellement à l’adresse http://ec.europa.eu/budget/index_fr.cfm</w:t>
      </w:r>
    </w:p>
    <w:p w14:paraId="5EA17D25" w14:textId="77777777" w:rsidR="005D2C86" w:rsidRPr="006015D0" w:rsidRDefault="005D2C86" w:rsidP="005D2C86">
      <w:pPr>
        <w:tabs>
          <w:tab w:val="left" w:pos="2410"/>
        </w:tabs>
        <w:ind w:left="2410" w:hanging="709"/>
        <w:jc w:val="both"/>
        <w:rPr>
          <w:sz w:val="20"/>
        </w:rPr>
      </w:pPr>
      <w:proofErr w:type="spellStart"/>
      <w:r>
        <w:rPr>
          <w:sz w:val="20"/>
        </w:rPr>
        <w:t>Tx</w:t>
      </w:r>
      <w:r>
        <w:rPr>
          <w:sz w:val="20"/>
          <w:vertAlign w:val="subscript"/>
        </w:rPr>
        <w:t>n</w:t>
      </w:r>
      <w:proofErr w:type="spellEnd"/>
      <w:r>
        <w:rPr>
          <w:sz w:val="20"/>
        </w:rPr>
        <w:t xml:space="preserve"> =</w:t>
      </w:r>
      <w:r>
        <w:tab/>
      </w:r>
      <w:r>
        <w:rPr>
          <w:sz w:val="20"/>
        </w:rPr>
        <w:t xml:space="preserve">même taux de change au mois n: 1 C = </w:t>
      </w:r>
      <w:proofErr w:type="spellStart"/>
      <w:r>
        <w:rPr>
          <w:sz w:val="20"/>
        </w:rPr>
        <w:t>TX</w:t>
      </w:r>
      <w:r>
        <w:rPr>
          <w:sz w:val="20"/>
          <w:vertAlign w:val="subscript"/>
        </w:rPr>
        <w:t>n</w:t>
      </w:r>
      <w:proofErr w:type="spellEnd"/>
      <w:r>
        <w:rPr>
          <w:sz w:val="20"/>
        </w:rPr>
        <w:t xml:space="preserve"> E</w:t>
      </w:r>
    </w:p>
    <w:p w14:paraId="744AD732" w14:textId="77777777" w:rsidR="005D2C86" w:rsidRPr="006015D0" w:rsidRDefault="005D2C86" w:rsidP="005D2C86">
      <w:pPr>
        <w:tabs>
          <w:tab w:val="left" w:pos="2410"/>
        </w:tabs>
        <w:ind w:left="2410" w:hanging="709"/>
        <w:jc w:val="both"/>
        <w:rPr>
          <w:sz w:val="20"/>
        </w:rPr>
      </w:pPr>
    </w:p>
    <w:p w14:paraId="5A731639" w14:textId="77777777" w:rsidR="005D2C86" w:rsidRPr="006015D0" w:rsidRDefault="005D2C86" w:rsidP="005D2C86">
      <w:pPr>
        <w:spacing w:before="120" w:after="120"/>
        <w:ind w:left="1701"/>
        <w:outlineLvl w:val="8"/>
        <w:rPr>
          <w:rFonts w:eastAsia="Calibri"/>
          <w:snapToGrid/>
          <w:sz w:val="22"/>
          <w:szCs w:val="22"/>
        </w:rPr>
      </w:pPr>
      <w:r>
        <w:rPr>
          <w:snapToGrid/>
          <w:sz w:val="22"/>
          <w:szCs w:val="22"/>
        </w:rPr>
        <w:t>Pour le présent marché, les indices et valeurs de référence seront utilisés:</w:t>
      </w:r>
    </w:p>
    <w:tbl>
      <w:tblPr>
        <w:tblW w:w="7797"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438"/>
        <w:gridCol w:w="1489"/>
        <w:gridCol w:w="983"/>
        <w:gridCol w:w="984"/>
      </w:tblGrid>
      <w:tr w:rsidR="005D2C86" w:rsidRPr="006015D0" w14:paraId="65031D0E" w14:textId="77777777" w:rsidTr="00D64598">
        <w:tc>
          <w:tcPr>
            <w:tcW w:w="1903" w:type="dxa"/>
            <w:shd w:val="pct5" w:color="auto" w:fill="auto"/>
          </w:tcPr>
          <w:p w14:paraId="0C288192" w14:textId="77777777" w:rsidR="005D2C86" w:rsidRPr="006015D0" w:rsidRDefault="005D2C86" w:rsidP="005D2C86">
            <w:pPr>
              <w:jc w:val="center"/>
              <w:outlineLvl w:val="8"/>
              <w:rPr>
                <w:rFonts w:eastAsia="Calibri"/>
                <w:b/>
                <w:snapToGrid/>
                <w:sz w:val="20"/>
              </w:rPr>
            </w:pPr>
            <w:r>
              <w:rPr>
                <w:b/>
                <w:snapToGrid/>
                <w:sz w:val="20"/>
              </w:rPr>
              <w:t>Matériaux</w:t>
            </w:r>
          </w:p>
        </w:tc>
        <w:tc>
          <w:tcPr>
            <w:tcW w:w="2438" w:type="dxa"/>
            <w:shd w:val="pct5" w:color="auto" w:fill="auto"/>
          </w:tcPr>
          <w:p w14:paraId="08FF70FE" w14:textId="77777777" w:rsidR="005D2C86" w:rsidRPr="006015D0" w:rsidRDefault="005D2C86" w:rsidP="005D2C86">
            <w:pPr>
              <w:jc w:val="center"/>
              <w:outlineLvl w:val="8"/>
              <w:rPr>
                <w:rFonts w:eastAsia="Calibri"/>
                <w:b/>
                <w:snapToGrid/>
                <w:sz w:val="20"/>
              </w:rPr>
            </w:pPr>
            <w:r>
              <w:rPr>
                <w:b/>
                <w:snapToGrid/>
                <w:sz w:val="20"/>
              </w:rPr>
              <w:t xml:space="preserve">Mat </w:t>
            </w:r>
          </w:p>
          <w:p w14:paraId="4A9E8788" w14:textId="77777777" w:rsidR="005D2C86" w:rsidRPr="006015D0" w:rsidRDefault="005D2C86" w:rsidP="005D2C86">
            <w:pPr>
              <w:jc w:val="center"/>
              <w:outlineLvl w:val="8"/>
              <w:rPr>
                <w:rFonts w:eastAsia="Calibri"/>
                <w:b/>
                <w:snapToGrid/>
                <w:sz w:val="20"/>
              </w:rPr>
            </w:pPr>
            <w:r>
              <w:rPr>
                <w:b/>
                <w:snapToGrid/>
                <w:sz w:val="20"/>
              </w:rPr>
              <w:t xml:space="preserve">(prix officiel ou </w:t>
            </w:r>
          </w:p>
          <w:p w14:paraId="3EC23C48" w14:textId="77777777" w:rsidR="005D2C86" w:rsidRPr="006015D0" w:rsidRDefault="005D2C86" w:rsidP="005D2C86">
            <w:pPr>
              <w:jc w:val="center"/>
              <w:outlineLvl w:val="8"/>
              <w:rPr>
                <w:rFonts w:eastAsia="Calibri"/>
                <w:b/>
                <w:snapToGrid/>
                <w:sz w:val="20"/>
              </w:rPr>
            </w:pPr>
            <w:r>
              <w:rPr>
                <w:b/>
                <w:snapToGrid/>
                <w:sz w:val="20"/>
              </w:rPr>
              <w:t>indice pertinent)</w:t>
            </w:r>
          </w:p>
        </w:tc>
        <w:tc>
          <w:tcPr>
            <w:tcW w:w="1489" w:type="dxa"/>
            <w:shd w:val="pct5" w:color="auto" w:fill="auto"/>
          </w:tcPr>
          <w:p w14:paraId="3C8F61C2" w14:textId="77777777" w:rsidR="005D2C86" w:rsidRPr="006015D0" w:rsidRDefault="005D2C86" w:rsidP="005D2C86">
            <w:pPr>
              <w:jc w:val="center"/>
              <w:outlineLvl w:val="8"/>
              <w:rPr>
                <w:rFonts w:eastAsia="Calibri"/>
                <w:b/>
                <w:snapToGrid/>
                <w:sz w:val="20"/>
              </w:rPr>
            </w:pPr>
            <w:r>
              <w:rPr>
                <w:b/>
                <w:snapToGrid/>
                <w:sz w:val="20"/>
              </w:rPr>
              <w:t>Monnaie de Mat</w:t>
            </w:r>
          </w:p>
        </w:tc>
        <w:tc>
          <w:tcPr>
            <w:tcW w:w="983" w:type="dxa"/>
            <w:shd w:val="pct5" w:color="auto" w:fill="auto"/>
          </w:tcPr>
          <w:p w14:paraId="63A633E1" w14:textId="77777777" w:rsidR="005D2C86" w:rsidRPr="006015D0" w:rsidRDefault="005D2C86" w:rsidP="005D2C86">
            <w:pPr>
              <w:jc w:val="center"/>
              <w:outlineLvl w:val="8"/>
              <w:rPr>
                <w:rFonts w:eastAsia="Calibri"/>
                <w:b/>
                <w:snapToGrid/>
                <w:sz w:val="20"/>
              </w:rPr>
            </w:pPr>
            <w:r>
              <w:rPr>
                <w:b/>
                <w:snapToGrid/>
                <w:sz w:val="20"/>
              </w:rPr>
              <w:t>Mat</w:t>
            </w:r>
            <w:r>
              <w:rPr>
                <w:b/>
                <w:snapToGrid/>
                <w:sz w:val="20"/>
                <w:vertAlign w:val="subscript"/>
              </w:rPr>
              <w:t>0</w:t>
            </w:r>
          </w:p>
        </w:tc>
        <w:tc>
          <w:tcPr>
            <w:tcW w:w="984" w:type="dxa"/>
            <w:shd w:val="pct5" w:color="auto" w:fill="auto"/>
          </w:tcPr>
          <w:p w14:paraId="7A2127DC" w14:textId="77777777" w:rsidR="005D2C86" w:rsidRPr="006015D0" w:rsidRDefault="005D2C86" w:rsidP="005D2C86">
            <w:pPr>
              <w:jc w:val="center"/>
              <w:outlineLvl w:val="8"/>
              <w:rPr>
                <w:rFonts w:eastAsia="Calibri"/>
                <w:b/>
                <w:snapToGrid/>
                <w:sz w:val="20"/>
              </w:rPr>
            </w:pPr>
            <w:r>
              <w:rPr>
                <w:b/>
                <w:snapToGrid/>
                <w:sz w:val="20"/>
              </w:rPr>
              <w:t>Tx</w:t>
            </w:r>
            <w:r>
              <w:rPr>
                <w:b/>
                <w:snapToGrid/>
                <w:sz w:val="20"/>
                <w:vertAlign w:val="subscript"/>
              </w:rPr>
              <w:t>0</w:t>
            </w:r>
          </w:p>
        </w:tc>
      </w:tr>
      <w:tr w:rsidR="00D64598" w:rsidRPr="006015D0" w14:paraId="74872FAB" w14:textId="77777777" w:rsidTr="00D64598">
        <w:tc>
          <w:tcPr>
            <w:tcW w:w="1903" w:type="dxa"/>
            <w:shd w:val="clear" w:color="auto" w:fill="auto"/>
          </w:tcPr>
          <w:p w14:paraId="437E7EEC" w14:textId="4F3727D2" w:rsidR="00D64598" w:rsidRPr="006015D0" w:rsidRDefault="00D64598" w:rsidP="00D64598">
            <w:pPr>
              <w:jc w:val="center"/>
              <w:outlineLvl w:val="8"/>
              <w:rPr>
                <w:rFonts w:eastAsia="Calibri"/>
                <w:snapToGrid/>
                <w:sz w:val="20"/>
              </w:rPr>
            </w:pPr>
            <w:r>
              <w:rPr>
                <w:snapToGrid/>
                <w:sz w:val="20"/>
                <w:highlight w:val="cyan"/>
              </w:rPr>
              <w:t>Ciment</w:t>
            </w:r>
          </w:p>
        </w:tc>
        <w:tc>
          <w:tcPr>
            <w:tcW w:w="2438" w:type="dxa"/>
            <w:shd w:val="clear" w:color="auto" w:fill="auto"/>
          </w:tcPr>
          <w:p w14:paraId="66D7FF98" w14:textId="42251652" w:rsidR="00D64598" w:rsidRPr="006015D0" w:rsidRDefault="00D64598" w:rsidP="00D64598">
            <w:pPr>
              <w:jc w:val="center"/>
              <w:outlineLvl w:val="8"/>
              <w:rPr>
                <w:rFonts w:eastAsia="Calibri"/>
                <w:snapToGrid/>
                <w:sz w:val="20"/>
              </w:rPr>
            </w:pPr>
            <w:r w:rsidRPr="00286F72">
              <w:rPr>
                <w:snapToGrid/>
                <w:sz w:val="20"/>
                <w:highlight w:val="cyan"/>
              </w:rPr>
              <w:t>&lt;</w:t>
            </w:r>
            <w:proofErr w:type="gramStart"/>
            <w:r w:rsidRPr="00286F72">
              <w:rPr>
                <w:snapToGrid/>
                <w:sz w:val="20"/>
                <w:highlight w:val="cyan"/>
              </w:rPr>
              <w:t>prix</w:t>
            </w:r>
            <w:proofErr w:type="gramEnd"/>
            <w:r w:rsidRPr="00286F72">
              <w:rPr>
                <w:snapToGrid/>
                <w:sz w:val="20"/>
                <w:highlight w:val="cyan"/>
              </w:rPr>
              <w:t xml:space="preserve"> officiel ou indice pertinent et source de publication</w:t>
            </w:r>
            <w:r>
              <w:rPr>
                <w:snapToGrid/>
                <w:sz w:val="20"/>
                <w:highlight w:val="cyan"/>
              </w:rPr>
              <w:t xml:space="preserve"> selon la provenance du ciment indiquée dans l’offre du contractant&gt;</w:t>
            </w:r>
            <w:r>
              <w:rPr>
                <w:snapToGrid/>
                <w:sz w:val="20"/>
                <w:highlight w:val="cyan"/>
              </w:rPr>
              <w:br/>
              <w:t>A défaut : Indice publié par l’INSEE (FR) ou autre prix officiel/indice et source de publication convenus entre les parties contractantes</w:t>
            </w:r>
          </w:p>
        </w:tc>
        <w:tc>
          <w:tcPr>
            <w:tcW w:w="1489" w:type="dxa"/>
            <w:shd w:val="clear" w:color="auto" w:fill="auto"/>
          </w:tcPr>
          <w:p w14:paraId="43BA518D" w14:textId="77777777" w:rsidR="00D64598" w:rsidRDefault="00D64598" w:rsidP="00D64598">
            <w:pPr>
              <w:jc w:val="center"/>
              <w:outlineLvl w:val="8"/>
              <w:rPr>
                <w:snapToGrid/>
                <w:sz w:val="20"/>
                <w:highlight w:val="cyan"/>
              </w:rPr>
            </w:pPr>
            <w:r w:rsidRPr="00286F72">
              <w:rPr>
                <w:snapToGrid/>
                <w:sz w:val="20"/>
                <w:highlight w:val="cyan"/>
              </w:rPr>
              <w:t xml:space="preserve">&lt;monnaie </w:t>
            </w:r>
            <w:r>
              <w:rPr>
                <w:snapToGrid/>
                <w:sz w:val="20"/>
                <w:highlight w:val="cyan"/>
              </w:rPr>
              <w:t>dans laquelle est établi le prix officiel ou l’indice Mat&gt;</w:t>
            </w:r>
            <w:r>
              <w:rPr>
                <w:snapToGrid/>
                <w:sz w:val="20"/>
                <w:highlight w:val="cyan"/>
              </w:rPr>
              <w:br/>
              <w:t>A défaut : EUR</w:t>
            </w:r>
          </w:p>
          <w:p w14:paraId="07755E96" w14:textId="16F9492C" w:rsidR="00D64598" w:rsidRPr="006015D0" w:rsidRDefault="00D64598" w:rsidP="00D64598">
            <w:pPr>
              <w:jc w:val="center"/>
              <w:outlineLvl w:val="8"/>
              <w:rPr>
                <w:rFonts w:eastAsia="Calibri"/>
                <w:snapToGrid/>
                <w:sz w:val="20"/>
              </w:rPr>
            </w:pPr>
          </w:p>
        </w:tc>
        <w:tc>
          <w:tcPr>
            <w:tcW w:w="983" w:type="dxa"/>
            <w:shd w:val="clear" w:color="auto" w:fill="auto"/>
          </w:tcPr>
          <w:p w14:paraId="3CBA5757" w14:textId="77777777" w:rsidR="00D64598" w:rsidRPr="006015D0" w:rsidRDefault="00D64598" w:rsidP="00D64598">
            <w:pPr>
              <w:jc w:val="center"/>
              <w:outlineLvl w:val="8"/>
              <w:rPr>
                <w:rFonts w:eastAsia="Calibri"/>
                <w:snapToGrid/>
                <w:sz w:val="20"/>
              </w:rPr>
            </w:pPr>
            <w:r>
              <w:rPr>
                <w:snapToGrid/>
                <w:sz w:val="20"/>
              </w:rPr>
              <w:t>&lt;</w:t>
            </w:r>
            <w:r>
              <w:rPr>
                <w:snapToGrid/>
                <w:sz w:val="20"/>
                <w:highlight w:val="yellow"/>
              </w:rPr>
              <w:t xml:space="preserve">Préciser le </w:t>
            </w:r>
            <w:r>
              <w:rPr>
                <w:snapToGrid/>
                <w:sz w:val="22"/>
                <w:szCs w:val="22"/>
                <w:highlight w:val="yellow"/>
              </w:rPr>
              <w:t>Mat</w:t>
            </w:r>
            <w:r>
              <w:rPr>
                <w:snapToGrid/>
                <w:sz w:val="22"/>
                <w:szCs w:val="22"/>
                <w:highlight w:val="yellow"/>
                <w:vertAlign w:val="subscript"/>
              </w:rPr>
              <w:t>0</w:t>
            </w:r>
            <w:r>
              <w:rPr>
                <w:snapToGrid/>
                <w:sz w:val="22"/>
                <w:szCs w:val="22"/>
              </w:rPr>
              <w:t>&gt;</w:t>
            </w:r>
          </w:p>
        </w:tc>
        <w:tc>
          <w:tcPr>
            <w:tcW w:w="984" w:type="dxa"/>
            <w:shd w:val="clear" w:color="auto" w:fill="auto"/>
          </w:tcPr>
          <w:p w14:paraId="53B57CF2" w14:textId="77777777" w:rsidR="00D64598" w:rsidRPr="006015D0" w:rsidRDefault="00D64598" w:rsidP="00D64598">
            <w:pPr>
              <w:jc w:val="center"/>
              <w:outlineLvl w:val="8"/>
              <w:rPr>
                <w:rFonts w:eastAsia="Calibri"/>
                <w:snapToGrid/>
                <w:sz w:val="20"/>
              </w:rPr>
            </w:pPr>
            <w:r>
              <w:rPr>
                <w:snapToGrid/>
                <w:sz w:val="20"/>
              </w:rPr>
              <w:t>&lt;</w:t>
            </w:r>
            <w:r>
              <w:rPr>
                <w:snapToGrid/>
                <w:sz w:val="20"/>
                <w:highlight w:val="yellow"/>
              </w:rPr>
              <w:t xml:space="preserve">Préciser le </w:t>
            </w:r>
            <w:r>
              <w:rPr>
                <w:snapToGrid/>
                <w:sz w:val="22"/>
                <w:szCs w:val="22"/>
                <w:highlight w:val="yellow"/>
              </w:rPr>
              <w:t>Tx</w:t>
            </w:r>
            <w:r>
              <w:rPr>
                <w:snapToGrid/>
                <w:sz w:val="22"/>
                <w:szCs w:val="22"/>
                <w:highlight w:val="yellow"/>
                <w:vertAlign w:val="subscript"/>
              </w:rPr>
              <w:t xml:space="preserve">0 </w:t>
            </w:r>
            <w:r>
              <w:rPr>
                <w:snapToGrid/>
                <w:sz w:val="20"/>
              </w:rPr>
              <w:t>&gt;</w:t>
            </w:r>
          </w:p>
        </w:tc>
      </w:tr>
      <w:tr w:rsidR="00D64598" w:rsidRPr="006015D0" w14:paraId="7D788DD7" w14:textId="77777777" w:rsidTr="00D64598">
        <w:tc>
          <w:tcPr>
            <w:tcW w:w="1903" w:type="dxa"/>
            <w:shd w:val="clear" w:color="auto" w:fill="auto"/>
          </w:tcPr>
          <w:p w14:paraId="013CB893" w14:textId="1CFE21F1" w:rsidR="00D64598" w:rsidRPr="006015D0" w:rsidRDefault="00D64598" w:rsidP="00D64598">
            <w:pPr>
              <w:jc w:val="center"/>
              <w:outlineLvl w:val="8"/>
              <w:rPr>
                <w:rFonts w:eastAsia="Calibri"/>
                <w:snapToGrid/>
                <w:sz w:val="20"/>
              </w:rPr>
            </w:pPr>
            <w:r>
              <w:rPr>
                <w:snapToGrid/>
                <w:sz w:val="20"/>
                <w:highlight w:val="cyan"/>
              </w:rPr>
              <w:t xml:space="preserve">Acier </w:t>
            </w:r>
          </w:p>
        </w:tc>
        <w:tc>
          <w:tcPr>
            <w:tcW w:w="2438" w:type="dxa"/>
            <w:shd w:val="clear" w:color="auto" w:fill="auto"/>
          </w:tcPr>
          <w:p w14:paraId="11817FD9" w14:textId="0B44E7EA" w:rsidR="00D64598" w:rsidRPr="006015D0" w:rsidRDefault="00D64598" w:rsidP="00D64598">
            <w:pPr>
              <w:jc w:val="center"/>
              <w:outlineLvl w:val="8"/>
              <w:rPr>
                <w:rFonts w:eastAsia="Calibri"/>
                <w:snapToGrid/>
                <w:sz w:val="20"/>
              </w:rPr>
            </w:pPr>
            <w:r w:rsidRPr="00286F72">
              <w:rPr>
                <w:snapToGrid/>
                <w:sz w:val="20"/>
                <w:highlight w:val="cyan"/>
              </w:rPr>
              <w:t>&lt;</w:t>
            </w:r>
            <w:proofErr w:type="gramStart"/>
            <w:r w:rsidRPr="00286F72">
              <w:rPr>
                <w:snapToGrid/>
                <w:sz w:val="20"/>
                <w:highlight w:val="cyan"/>
              </w:rPr>
              <w:t>prix</w:t>
            </w:r>
            <w:proofErr w:type="gramEnd"/>
            <w:r w:rsidRPr="00286F72">
              <w:rPr>
                <w:snapToGrid/>
                <w:sz w:val="20"/>
                <w:highlight w:val="cyan"/>
              </w:rPr>
              <w:t xml:space="preserve"> officiel ou indice pertinent et source de publication</w:t>
            </w:r>
            <w:r>
              <w:rPr>
                <w:snapToGrid/>
                <w:sz w:val="20"/>
                <w:highlight w:val="cyan"/>
              </w:rPr>
              <w:t xml:space="preserve"> selon la provenance de l’acier indiquée dans l’offre du contractant&gt;</w:t>
            </w:r>
            <w:r>
              <w:rPr>
                <w:snapToGrid/>
                <w:sz w:val="20"/>
                <w:highlight w:val="cyan"/>
              </w:rPr>
              <w:br/>
              <w:t>A défaut : Indice publié par l’INSEE (FR) ou autre prix officiel/indice et source de publication convenus entre les parties contractantes</w:t>
            </w:r>
          </w:p>
        </w:tc>
        <w:tc>
          <w:tcPr>
            <w:tcW w:w="1489" w:type="dxa"/>
            <w:shd w:val="clear" w:color="auto" w:fill="auto"/>
          </w:tcPr>
          <w:p w14:paraId="1CC4FA84" w14:textId="77777777" w:rsidR="00D64598" w:rsidRDefault="00D64598" w:rsidP="00D64598">
            <w:pPr>
              <w:jc w:val="center"/>
              <w:outlineLvl w:val="8"/>
              <w:rPr>
                <w:snapToGrid/>
                <w:sz w:val="20"/>
                <w:highlight w:val="cyan"/>
              </w:rPr>
            </w:pPr>
            <w:r w:rsidRPr="00286F72">
              <w:rPr>
                <w:snapToGrid/>
                <w:sz w:val="20"/>
                <w:highlight w:val="cyan"/>
              </w:rPr>
              <w:t xml:space="preserve">&lt;monnaie </w:t>
            </w:r>
            <w:r>
              <w:rPr>
                <w:snapToGrid/>
                <w:sz w:val="20"/>
                <w:highlight w:val="cyan"/>
              </w:rPr>
              <w:t>dans laquelle est établi le prix officiel ou l’indice Mat&gt;</w:t>
            </w:r>
            <w:r>
              <w:rPr>
                <w:snapToGrid/>
                <w:sz w:val="20"/>
                <w:highlight w:val="cyan"/>
              </w:rPr>
              <w:br/>
              <w:t>A défaut : EUR</w:t>
            </w:r>
          </w:p>
          <w:p w14:paraId="30127443" w14:textId="235D159E" w:rsidR="00D64598" w:rsidRPr="006015D0" w:rsidRDefault="00D64598" w:rsidP="00D64598">
            <w:pPr>
              <w:jc w:val="center"/>
              <w:outlineLvl w:val="8"/>
              <w:rPr>
                <w:rFonts w:eastAsia="Calibri"/>
                <w:snapToGrid/>
                <w:sz w:val="20"/>
              </w:rPr>
            </w:pPr>
          </w:p>
        </w:tc>
        <w:tc>
          <w:tcPr>
            <w:tcW w:w="983" w:type="dxa"/>
            <w:shd w:val="clear" w:color="auto" w:fill="auto"/>
          </w:tcPr>
          <w:p w14:paraId="4F02F7CE" w14:textId="77777777" w:rsidR="00D64598" w:rsidRPr="006015D0" w:rsidRDefault="00D64598" w:rsidP="00D64598">
            <w:pPr>
              <w:jc w:val="center"/>
              <w:outlineLvl w:val="8"/>
              <w:rPr>
                <w:rFonts w:eastAsia="Calibri"/>
                <w:snapToGrid/>
                <w:sz w:val="20"/>
              </w:rPr>
            </w:pPr>
            <w:r>
              <w:rPr>
                <w:snapToGrid/>
                <w:sz w:val="20"/>
              </w:rPr>
              <w:t>&lt;</w:t>
            </w:r>
            <w:r>
              <w:rPr>
                <w:snapToGrid/>
                <w:sz w:val="20"/>
                <w:highlight w:val="yellow"/>
              </w:rPr>
              <w:t xml:space="preserve">Préciser le </w:t>
            </w:r>
            <w:r>
              <w:rPr>
                <w:snapToGrid/>
                <w:sz w:val="22"/>
                <w:szCs w:val="22"/>
                <w:highlight w:val="yellow"/>
              </w:rPr>
              <w:t>Mat</w:t>
            </w:r>
            <w:r>
              <w:rPr>
                <w:snapToGrid/>
                <w:sz w:val="22"/>
                <w:szCs w:val="22"/>
                <w:highlight w:val="yellow"/>
                <w:vertAlign w:val="subscript"/>
              </w:rPr>
              <w:t>0</w:t>
            </w:r>
            <w:r>
              <w:rPr>
                <w:snapToGrid/>
                <w:sz w:val="22"/>
                <w:szCs w:val="22"/>
              </w:rPr>
              <w:t>&gt;</w:t>
            </w:r>
          </w:p>
        </w:tc>
        <w:tc>
          <w:tcPr>
            <w:tcW w:w="984" w:type="dxa"/>
            <w:shd w:val="clear" w:color="auto" w:fill="auto"/>
          </w:tcPr>
          <w:p w14:paraId="3FE98AA4" w14:textId="77777777" w:rsidR="00D64598" w:rsidRPr="006015D0" w:rsidRDefault="00D64598" w:rsidP="00D64598">
            <w:pPr>
              <w:jc w:val="center"/>
              <w:outlineLvl w:val="8"/>
              <w:rPr>
                <w:rFonts w:eastAsia="Calibri"/>
                <w:snapToGrid/>
                <w:sz w:val="20"/>
              </w:rPr>
            </w:pPr>
            <w:r>
              <w:rPr>
                <w:snapToGrid/>
                <w:sz w:val="20"/>
              </w:rPr>
              <w:t>&lt;</w:t>
            </w:r>
            <w:r>
              <w:rPr>
                <w:snapToGrid/>
                <w:sz w:val="20"/>
                <w:highlight w:val="yellow"/>
              </w:rPr>
              <w:t xml:space="preserve">Préciser le </w:t>
            </w:r>
            <w:r>
              <w:rPr>
                <w:snapToGrid/>
                <w:sz w:val="22"/>
                <w:szCs w:val="22"/>
                <w:highlight w:val="yellow"/>
              </w:rPr>
              <w:t>Tx</w:t>
            </w:r>
            <w:r>
              <w:rPr>
                <w:snapToGrid/>
                <w:sz w:val="22"/>
                <w:szCs w:val="22"/>
                <w:highlight w:val="yellow"/>
                <w:vertAlign w:val="subscript"/>
              </w:rPr>
              <w:t xml:space="preserve">0 </w:t>
            </w:r>
            <w:r>
              <w:rPr>
                <w:snapToGrid/>
                <w:sz w:val="20"/>
              </w:rPr>
              <w:t>&gt;</w:t>
            </w:r>
          </w:p>
        </w:tc>
      </w:tr>
    </w:tbl>
    <w:p w14:paraId="08A9DE4A" w14:textId="77777777" w:rsidR="005D2C86" w:rsidRPr="006015D0" w:rsidRDefault="005D2C86" w:rsidP="005D2C86">
      <w:pPr>
        <w:numPr>
          <w:ilvl w:val="0"/>
          <w:numId w:val="8"/>
        </w:numPr>
        <w:spacing w:before="240" w:after="120"/>
        <w:ind w:left="1701" w:hanging="357"/>
        <w:jc w:val="both"/>
        <w:rPr>
          <w:sz w:val="22"/>
          <w:szCs w:val="22"/>
        </w:rPr>
      </w:pPr>
      <w:proofErr w:type="gramStart"/>
      <w:r>
        <w:rPr>
          <w:sz w:val="22"/>
          <w:szCs w:val="22"/>
        </w:rPr>
        <w:lastRenderedPageBreak/>
        <w:t>la</w:t>
      </w:r>
      <w:proofErr w:type="gramEnd"/>
      <w:r>
        <w:rPr>
          <w:sz w:val="22"/>
          <w:szCs w:val="22"/>
        </w:rPr>
        <w:t xml:space="preserve"> formule proportionnelle doit être appliquée à chaque paiement intermédiaire, après déduction de tout montant dû pour le remboursement du préfinancement:</w:t>
      </w:r>
    </w:p>
    <w:p w14:paraId="77C180C4" w14:textId="77777777" w:rsidR="005D2C86" w:rsidRPr="006015D0" w:rsidRDefault="005D2C86" w:rsidP="005D2C86">
      <w:pPr>
        <w:spacing w:after="120" w:line="276" w:lineRule="auto"/>
        <w:ind w:left="1701"/>
      </w:pPr>
      <w:r>
        <w:object w:dxaOrig="5000" w:dyaOrig="760" w14:anchorId="14DBB852">
          <v:shape id="_x0000_i1030" type="#_x0000_t75" style="width:273.75pt;height:39.75pt" o:ole="">
            <v:imagedata r:id="rId22" o:title=""/>
          </v:shape>
          <o:OLEObject Type="Embed" ProgID="Equation.3" ShapeID="_x0000_i1030" DrawAspect="Content" ObjectID="_1738488783" r:id="rId23"/>
        </w:object>
      </w:r>
    </w:p>
    <w:p w14:paraId="5575CEC5" w14:textId="77777777" w:rsidR="005D2C86" w:rsidRPr="006015D0" w:rsidRDefault="005D2C86" w:rsidP="005D2C86">
      <w:pPr>
        <w:spacing w:line="276" w:lineRule="auto"/>
        <w:ind w:left="2268" w:hanging="567"/>
        <w:rPr>
          <w:rFonts w:eastAsia="Calibri"/>
          <w:snapToGrid/>
          <w:sz w:val="22"/>
          <w:szCs w:val="22"/>
        </w:rPr>
      </w:pPr>
      <w:r>
        <w:rPr>
          <w:snapToGrid/>
          <w:sz w:val="22"/>
          <w:szCs w:val="22"/>
        </w:rPr>
        <w:t>dans laquelle:</w:t>
      </w:r>
    </w:p>
    <w:p w14:paraId="238A473E" w14:textId="77777777" w:rsidR="005D2C86" w:rsidRPr="006015D0" w:rsidRDefault="006D15C4" w:rsidP="00D64598">
      <w:pPr>
        <w:ind w:left="2268" w:hanging="567"/>
        <w:jc w:val="both"/>
        <w:rPr>
          <w:snapToGrid/>
          <w:sz w:val="22"/>
          <w:szCs w:val="22"/>
        </w:rPr>
      </w:pPr>
      <w:r>
        <w:rPr>
          <w:snapToGrid/>
          <w:sz w:val="22"/>
          <w:szCs w:val="22"/>
        </w:rPr>
        <w:pict w14:anchorId="4C3ADB7C">
          <v:shape id="_x0000_i1031" type="#_x0000_t75" style="width:16.5pt;height:21.75pt">
            <v:imagedata r:id="rId24" o:title=""/>
          </v:shape>
        </w:pict>
      </w:r>
      <w:r w:rsidR="005D2C86">
        <w:rPr>
          <w:snapToGrid/>
          <w:sz w:val="22"/>
          <w:szCs w:val="22"/>
        </w:rPr>
        <w:t xml:space="preserve"> =</w:t>
      </w:r>
      <w:r w:rsidR="005D2C86">
        <w:tab/>
      </w:r>
      <w:r w:rsidR="005D2C86">
        <w:rPr>
          <w:snapToGrid/>
          <w:sz w:val="22"/>
          <w:szCs w:val="22"/>
        </w:rPr>
        <w:t>montant du décompte, déduction faite du remboursement des préfinancements après la révision des prix</w:t>
      </w:r>
    </w:p>
    <w:p w14:paraId="0ADBC9AD" w14:textId="77777777" w:rsidR="005D2C86" w:rsidRPr="006015D0" w:rsidRDefault="006D15C4" w:rsidP="00D64598">
      <w:pPr>
        <w:ind w:left="2268" w:hanging="567"/>
        <w:jc w:val="both"/>
        <w:rPr>
          <w:snapToGrid/>
          <w:sz w:val="22"/>
          <w:szCs w:val="22"/>
        </w:rPr>
      </w:pPr>
      <w:r>
        <w:rPr>
          <w:snapToGrid/>
          <w:sz w:val="22"/>
          <w:szCs w:val="22"/>
        </w:rPr>
        <w:pict w14:anchorId="0902F8A5">
          <v:shape id="_x0000_i1032" type="#_x0000_t75" style="width:16.5pt;height:21.75pt">
            <v:imagedata r:id="rId25" o:title=""/>
          </v:shape>
        </w:pict>
      </w:r>
      <w:r w:rsidR="005D2C86">
        <w:rPr>
          <w:snapToGrid/>
          <w:sz w:val="22"/>
          <w:szCs w:val="22"/>
        </w:rPr>
        <w:t xml:space="preserve"> =</w:t>
      </w:r>
      <w:r w:rsidR="005D2C86">
        <w:tab/>
      </w:r>
      <w:r w:rsidR="005D2C86">
        <w:rPr>
          <w:snapToGrid/>
          <w:sz w:val="22"/>
          <w:szCs w:val="22"/>
        </w:rPr>
        <w:t>montant du décompte, déduction faite du remboursement des préfinancements avant application de la formule proportionnelle de révision des prix</w:t>
      </w:r>
    </w:p>
    <w:p w14:paraId="752F425C" w14:textId="77777777" w:rsidR="00D64598" w:rsidRPr="00D64598" w:rsidRDefault="005D2C86" w:rsidP="00D64598">
      <w:pPr>
        <w:spacing w:line="276" w:lineRule="auto"/>
        <w:ind w:left="2268" w:hanging="567"/>
        <w:jc w:val="both"/>
        <w:outlineLvl w:val="8"/>
        <w:rPr>
          <w:snapToGrid/>
          <w:sz w:val="22"/>
          <w:szCs w:val="22"/>
        </w:rPr>
      </w:pPr>
      <w:r w:rsidRPr="00D64598">
        <w:rPr>
          <w:snapToGrid/>
          <w:sz w:val="22"/>
          <w:szCs w:val="22"/>
        </w:rPr>
        <w:t>E</w:t>
      </w:r>
      <w:r w:rsidRPr="00D64598">
        <w:rPr>
          <w:snapToGrid/>
          <w:sz w:val="22"/>
          <w:szCs w:val="22"/>
          <w:vertAlign w:val="subscript"/>
        </w:rPr>
        <w:t>0</w:t>
      </w:r>
      <w:r w:rsidRPr="00D64598">
        <w:rPr>
          <w:snapToGrid/>
          <w:sz w:val="22"/>
          <w:szCs w:val="22"/>
        </w:rPr>
        <w:t>=</w:t>
      </w:r>
      <w:r w:rsidRPr="00D64598">
        <w:tab/>
      </w:r>
      <w:r w:rsidR="00D64598" w:rsidRPr="00D64598">
        <w:rPr>
          <w:snapToGrid/>
          <w:sz w:val="22"/>
          <w:szCs w:val="22"/>
        </w:rPr>
        <w:t>Taux horaire du salaire minimum d’embauche (SME) pour le secteur privé pour la catégorie M1-1A à Madagascar, fixé par décret du Ministère du Travail, de l’Emploi, de la Fonction publique et des Lois sociales, en vigueur à la date de référence – Monnaie de E : MGA</w:t>
      </w:r>
    </w:p>
    <w:p w14:paraId="2CEAB794" w14:textId="77777777" w:rsidR="00D64598" w:rsidRPr="00D64598" w:rsidRDefault="005D2C86" w:rsidP="00D64598">
      <w:pPr>
        <w:spacing w:line="276" w:lineRule="auto"/>
        <w:ind w:left="2268" w:hanging="567"/>
        <w:jc w:val="both"/>
        <w:outlineLvl w:val="8"/>
        <w:rPr>
          <w:rFonts w:eastAsia="Calibri"/>
          <w:snapToGrid/>
          <w:sz w:val="22"/>
          <w:szCs w:val="22"/>
        </w:rPr>
      </w:pPr>
      <w:r w:rsidRPr="00D64598">
        <w:rPr>
          <w:snapToGrid/>
          <w:sz w:val="22"/>
          <w:szCs w:val="22"/>
        </w:rPr>
        <w:t>E</w:t>
      </w:r>
      <w:r w:rsidRPr="00D64598">
        <w:rPr>
          <w:snapToGrid/>
          <w:sz w:val="22"/>
          <w:szCs w:val="22"/>
          <w:vertAlign w:val="subscript"/>
        </w:rPr>
        <w:t>n</w:t>
      </w:r>
      <w:r w:rsidRPr="00D64598">
        <w:rPr>
          <w:snapToGrid/>
          <w:sz w:val="22"/>
          <w:szCs w:val="22"/>
        </w:rPr>
        <w:t>=</w:t>
      </w:r>
      <w:r w:rsidRPr="00D64598">
        <w:tab/>
      </w:r>
      <w:r w:rsidR="00D64598" w:rsidRPr="00D64598">
        <w:rPr>
          <w:snapToGrid/>
          <w:sz w:val="22"/>
          <w:szCs w:val="22"/>
        </w:rPr>
        <w:t>Taux horaire du salaire minimum d’embauche (SME) pour le secteur privé pour la catégorie M1-1A à Madagascar, fixé par décret du Ministère du Travail, de l’Emploi, de la Fonction publique et des Lois sociales, en vigueur au mois n</w:t>
      </w:r>
    </w:p>
    <w:p w14:paraId="6AED6AE9" w14:textId="3A2B2706" w:rsidR="00D64598" w:rsidRPr="00D64598" w:rsidRDefault="005D2C86" w:rsidP="00D64598">
      <w:pPr>
        <w:spacing w:line="276" w:lineRule="auto"/>
        <w:ind w:left="2268" w:hanging="567"/>
        <w:jc w:val="both"/>
        <w:outlineLvl w:val="8"/>
        <w:rPr>
          <w:snapToGrid/>
          <w:sz w:val="22"/>
          <w:szCs w:val="22"/>
        </w:rPr>
      </w:pPr>
      <w:r w:rsidRPr="00D64598">
        <w:rPr>
          <w:snapToGrid/>
          <w:sz w:val="22"/>
          <w:szCs w:val="22"/>
        </w:rPr>
        <w:t>Mt</w:t>
      </w:r>
      <w:r w:rsidR="00D64598" w:rsidRPr="00D64598">
        <w:rPr>
          <w:snapToGrid/>
          <w:sz w:val="22"/>
          <w:szCs w:val="22"/>
          <w:vertAlign w:val="subscript"/>
        </w:rPr>
        <w:t>0</w:t>
      </w:r>
      <w:r w:rsidRPr="00D64598">
        <w:rPr>
          <w:snapToGrid/>
          <w:sz w:val="22"/>
          <w:szCs w:val="22"/>
        </w:rPr>
        <w:t xml:space="preserve"> =</w:t>
      </w:r>
      <w:r w:rsidRPr="00D64598">
        <w:tab/>
      </w:r>
      <w:r w:rsidR="00D64598" w:rsidRPr="00D64598">
        <w:rPr>
          <w:snapToGrid/>
          <w:sz w:val="22"/>
          <w:szCs w:val="22"/>
        </w:rPr>
        <w:t>Prix officiel ou indice pertinent et source de publication convenus entre les parties contractantes ou, à défaut, indice de réactualisation des actifs matériels dans la construction (IM) - Base 2010 - Identifiant 001711020, publié par l’INSEE (France), pour la date de référence – Monnaie de l’indicateur : EUR</w:t>
      </w:r>
    </w:p>
    <w:p w14:paraId="12A67987" w14:textId="77777777" w:rsidR="00D64598" w:rsidRPr="00D64598" w:rsidRDefault="005D2C86" w:rsidP="00D64598">
      <w:pPr>
        <w:spacing w:line="276" w:lineRule="auto"/>
        <w:ind w:left="2268" w:hanging="567"/>
        <w:jc w:val="both"/>
        <w:outlineLvl w:val="8"/>
        <w:rPr>
          <w:snapToGrid/>
          <w:sz w:val="22"/>
          <w:szCs w:val="22"/>
        </w:rPr>
      </w:pPr>
      <w:r w:rsidRPr="00D64598">
        <w:rPr>
          <w:snapToGrid/>
          <w:sz w:val="22"/>
          <w:szCs w:val="22"/>
        </w:rPr>
        <w:t>Mt</w:t>
      </w:r>
      <w:r w:rsidRPr="00D64598">
        <w:rPr>
          <w:snapToGrid/>
          <w:sz w:val="22"/>
          <w:szCs w:val="22"/>
          <w:vertAlign w:val="subscript"/>
        </w:rPr>
        <w:t>n</w:t>
      </w:r>
      <w:r w:rsidRPr="00D64598">
        <w:rPr>
          <w:snapToGrid/>
          <w:sz w:val="22"/>
          <w:szCs w:val="22"/>
        </w:rPr>
        <w:t xml:space="preserve"> =</w:t>
      </w:r>
      <w:r w:rsidRPr="00D64598">
        <w:tab/>
      </w:r>
      <w:r w:rsidR="00D64598" w:rsidRPr="00D64598">
        <w:rPr>
          <w:snapToGrid/>
          <w:sz w:val="22"/>
          <w:szCs w:val="22"/>
        </w:rPr>
        <w:t>Prix officiel ou indice pertinent et source de publication convenus entre les parties contractantes ou, à défaut, indice de réactualisation des actifs matériels dans la construction (IM) - Base 2010 - Identifiant 001711020, publié par l’INSEE (France), au mois n</w:t>
      </w:r>
    </w:p>
    <w:p w14:paraId="3D59AC17" w14:textId="77777777" w:rsidR="00D64598" w:rsidRPr="00D64598" w:rsidRDefault="005D2C86" w:rsidP="00D64598">
      <w:pPr>
        <w:spacing w:line="276" w:lineRule="auto"/>
        <w:ind w:left="2268" w:hanging="567"/>
        <w:jc w:val="both"/>
        <w:outlineLvl w:val="8"/>
        <w:rPr>
          <w:snapToGrid/>
          <w:sz w:val="22"/>
          <w:szCs w:val="22"/>
        </w:rPr>
      </w:pPr>
      <w:r w:rsidRPr="00D64598">
        <w:rPr>
          <w:snapToGrid/>
          <w:sz w:val="22"/>
          <w:szCs w:val="22"/>
        </w:rPr>
        <w:t>G</w:t>
      </w:r>
      <w:r w:rsidRPr="00D64598">
        <w:rPr>
          <w:snapToGrid/>
          <w:sz w:val="22"/>
          <w:szCs w:val="22"/>
          <w:vertAlign w:val="subscript"/>
        </w:rPr>
        <w:t xml:space="preserve">0 </w:t>
      </w:r>
      <w:r w:rsidRPr="00D64598">
        <w:rPr>
          <w:snapToGrid/>
          <w:sz w:val="22"/>
          <w:szCs w:val="22"/>
        </w:rPr>
        <w:t>=</w:t>
      </w:r>
      <w:r w:rsidRPr="00D64598">
        <w:tab/>
      </w:r>
      <w:r w:rsidR="00D64598" w:rsidRPr="00D64598">
        <w:rPr>
          <w:snapToGrid/>
          <w:sz w:val="22"/>
          <w:szCs w:val="22"/>
        </w:rPr>
        <w:t>Prix officiel du litre de Gas-oil publié par l’Office Malgache des Hydrocarbures (OMH) de Madagascar à la date de référence</w:t>
      </w:r>
    </w:p>
    <w:p w14:paraId="4EE9E925" w14:textId="77777777" w:rsidR="00D64598" w:rsidRDefault="005D2C86" w:rsidP="00D64598">
      <w:pPr>
        <w:spacing w:line="276" w:lineRule="auto"/>
        <w:ind w:left="2268" w:hanging="567"/>
        <w:jc w:val="both"/>
        <w:outlineLvl w:val="8"/>
        <w:rPr>
          <w:snapToGrid/>
          <w:sz w:val="22"/>
          <w:szCs w:val="22"/>
        </w:rPr>
      </w:pPr>
      <w:proofErr w:type="spellStart"/>
      <w:r w:rsidRPr="00D64598">
        <w:rPr>
          <w:snapToGrid/>
          <w:sz w:val="22"/>
          <w:szCs w:val="22"/>
        </w:rPr>
        <w:t>G</w:t>
      </w:r>
      <w:r w:rsidRPr="00D64598">
        <w:rPr>
          <w:snapToGrid/>
          <w:sz w:val="22"/>
          <w:szCs w:val="22"/>
          <w:vertAlign w:val="subscript"/>
        </w:rPr>
        <w:t>n</w:t>
      </w:r>
      <w:proofErr w:type="spellEnd"/>
      <w:r w:rsidRPr="00D64598">
        <w:rPr>
          <w:snapToGrid/>
          <w:sz w:val="22"/>
          <w:szCs w:val="22"/>
          <w:vertAlign w:val="subscript"/>
        </w:rPr>
        <w:t xml:space="preserve"> </w:t>
      </w:r>
      <w:r w:rsidRPr="00D64598">
        <w:rPr>
          <w:snapToGrid/>
          <w:sz w:val="22"/>
          <w:szCs w:val="22"/>
        </w:rPr>
        <w:t>=</w:t>
      </w:r>
      <w:r w:rsidRPr="00D64598">
        <w:tab/>
      </w:r>
      <w:r w:rsidR="00D64598" w:rsidRPr="00D64598">
        <w:rPr>
          <w:snapToGrid/>
          <w:sz w:val="22"/>
          <w:szCs w:val="22"/>
        </w:rPr>
        <w:t>Prix officiel du litre de Gas-oil publié par l’Office Malgache des Hydrocarbures (OMH) de Madagascar au mois n</w:t>
      </w:r>
      <w:r w:rsidR="00D64598">
        <w:rPr>
          <w:snapToGrid/>
          <w:sz w:val="22"/>
          <w:szCs w:val="22"/>
        </w:rPr>
        <w:t xml:space="preserve"> </w:t>
      </w:r>
    </w:p>
    <w:p w14:paraId="37D80EFE" w14:textId="77777777" w:rsidR="005D2C86" w:rsidRDefault="005D2C86" w:rsidP="00D64598">
      <w:pPr>
        <w:ind w:left="2268" w:hanging="567"/>
        <w:jc w:val="both"/>
        <w:rPr>
          <w:snapToGrid/>
          <w:sz w:val="22"/>
          <w:szCs w:val="22"/>
        </w:rPr>
      </w:pPr>
      <w:r>
        <w:rPr>
          <w:snapToGrid/>
          <w:sz w:val="22"/>
          <w:szCs w:val="22"/>
        </w:rPr>
        <w:t>Tx</w:t>
      </w:r>
      <w:r>
        <w:rPr>
          <w:snapToGrid/>
          <w:sz w:val="22"/>
          <w:szCs w:val="22"/>
          <w:vertAlign w:val="subscript"/>
        </w:rPr>
        <w:t>0</w:t>
      </w:r>
      <w:r>
        <w:rPr>
          <w:snapToGrid/>
          <w:sz w:val="22"/>
          <w:szCs w:val="22"/>
        </w:rPr>
        <w:t xml:space="preserve"> =</w:t>
      </w:r>
      <w:r>
        <w:tab/>
      </w:r>
      <w:r>
        <w:rPr>
          <w:snapToGrid/>
          <w:sz w:val="22"/>
          <w:szCs w:val="22"/>
        </w:rPr>
        <w:t>taux de change entre la monnaie de l’indicateur choisi «</w:t>
      </w:r>
      <w:proofErr w:type="gramStart"/>
      <w:r>
        <w:rPr>
          <w:snapToGrid/>
          <w:sz w:val="22"/>
          <w:szCs w:val="22"/>
        </w:rPr>
        <w:t>C»</w:t>
      </w:r>
      <w:proofErr w:type="gramEnd"/>
      <w:r>
        <w:rPr>
          <w:snapToGrid/>
          <w:sz w:val="22"/>
          <w:szCs w:val="22"/>
        </w:rPr>
        <w:t xml:space="preserve"> et la monnaie du paiement du marché «E» à la date de référence: 1 C = Tx</w:t>
      </w:r>
      <w:r>
        <w:rPr>
          <w:snapToGrid/>
          <w:sz w:val="22"/>
          <w:szCs w:val="22"/>
          <w:vertAlign w:val="subscript"/>
        </w:rPr>
        <w:t>0</w:t>
      </w:r>
      <w:r>
        <w:rPr>
          <w:snapToGrid/>
          <w:sz w:val="22"/>
          <w:szCs w:val="22"/>
        </w:rPr>
        <w:t xml:space="preserve"> E</w:t>
      </w:r>
    </w:p>
    <w:p w14:paraId="76C3F8EB" w14:textId="77777777" w:rsidR="005D2C86" w:rsidRPr="006015D0" w:rsidRDefault="005D2C86" w:rsidP="00D64598">
      <w:pPr>
        <w:ind w:left="2268"/>
        <w:jc w:val="both"/>
        <w:rPr>
          <w:snapToGrid/>
          <w:sz w:val="22"/>
          <w:szCs w:val="22"/>
        </w:rPr>
      </w:pPr>
      <w:r>
        <w:rPr>
          <w:snapToGrid/>
          <w:sz w:val="22"/>
          <w:szCs w:val="22"/>
        </w:rPr>
        <w:t xml:space="preserve">Les taux de change sont ceux publiés sur le site internet </w:t>
      </w:r>
      <w:proofErr w:type="spellStart"/>
      <w:r>
        <w:rPr>
          <w:snapToGrid/>
          <w:sz w:val="22"/>
          <w:szCs w:val="22"/>
        </w:rPr>
        <w:t>InforEuro</w:t>
      </w:r>
      <w:proofErr w:type="spellEnd"/>
      <w:r>
        <w:rPr>
          <w:snapToGrid/>
          <w:sz w:val="22"/>
          <w:szCs w:val="22"/>
        </w:rPr>
        <w:t>, actuellement à l’adresse http://ec.europa.eu/budget/index_fr.cfm</w:t>
      </w:r>
    </w:p>
    <w:p w14:paraId="5731369F" w14:textId="77777777" w:rsidR="005D2C86" w:rsidRPr="006015D0" w:rsidRDefault="005D2C86" w:rsidP="00D64598">
      <w:pPr>
        <w:ind w:left="2268" w:hanging="567"/>
        <w:jc w:val="both"/>
        <w:rPr>
          <w:snapToGrid/>
          <w:sz w:val="22"/>
          <w:szCs w:val="22"/>
        </w:rPr>
      </w:pPr>
      <w:proofErr w:type="spellStart"/>
      <w:r>
        <w:rPr>
          <w:snapToGrid/>
          <w:sz w:val="22"/>
          <w:szCs w:val="22"/>
        </w:rPr>
        <w:t>Tx</w:t>
      </w:r>
      <w:r>
        <w:rPr>
          <w:snapToGrid/>
          <w:sz w:val="22"/>
          <w:szCs w:val="22"/>
          <w:vertAlign w:val="subscript"/>
        </w:rPr>
        <w:t>n</w:t>
      </w:r>
      <w:proofErr w:type="spellEnd"/>
      <w:r>
        <w:rPr>
          <w:snapToGrid/>
          <w:sz w:val="22"/>
          <w:szCs w:val="22"/>
          <w:vertAlign w:val="subscript"/>
        </w:rPr>
        <w:t xml:space="preserve"> </w:t>
      </w:r>
      <w:r>
        <w:rPr>
          <w:snapToGrid/>
          <w:sz w:val="22"/>
          <w:szCs w:val="22"/>
        </w:rPr>
        <w:t>=</w:t>
      </w:r>
      <w:r>
        <w:tab/>
      </w:r>
      <w:r>
        <w:rPr>
          <w:snapToGrid/>
          <w:sz w:val="22"/>
          <w:szCs w:val="22"/>
        </w:rPr>
        <w:t xml:space="preserve">même taux de change au mois n: 1 C = </w:t>
      </w:r>
      <w:proofErr w:type="spellStart"/>
      <w:r>
        <w:rPr>
          <w:snapToGrid/>
          <w:sz w:val="22"/>
          <w:szCs w:val="22"/>
        </w:rPr>
        <w:t>Tx</w:t>
      </w:r>
      <w:r>
        <w:rPr>
          <w:snapToGrid/>
          <w:sz w:val="22"/>
          <w:szCs w:val="22"/>
          <w:vertAlign w:val="subscript"/>
        </w:rPr>
        <w:t>n</w:t>
      </w:r>
      <w:proofErr w:type="spellEnd"/>
      <w:r>
        <w:rPr>
          <w:snapToGrid/>
          <w:sz w:val="22"/>
          <w:szCs w:val="22"/>
        </w:rPr>
        <w:t xml:space="preserve"> E</w:t>
      </w:r>
    </w:p>
    <w:p w14:paraId="1609574B" w14:textId="77777777" w:rsidR="005D2C86" w:rsidRPr="006015D0" w:rsidRDefault="005D2C86" w:rsidP="005D2C86">
      <w:pPr>
        <w:spacing w:line="360" w:lineRule="auto"/>
        <w:ind w:left="2268" w:hanging="567"/>
        <w:jc w:val="both"/>
        <w:rPr>
          <w:snapToGrid/>
          <w:sz w:val="22"/>
          <w:szCs w:val="22"/>
          <w:lang w:eastAsia="en-GB"/>
        </w:rPr>
      </w:pPr>
    </w:p>
    <w:p w14:paraId="1CC021BC" w14:textId="77777777" w:rsidR="005D2C86" w:rsidRPr="006015D0" w:rsidRDefault="005D2C86" w:rsidP="005D2C86">
      <w:pPr>
        <w:spacing w:after="120" w:line="276" w:lineRule="auto"/>
        <w:ind w:left="1701"/>
        <w:outlineLvl w:val="8"/>
        <w:rPr>
          <w:rFonts w:eastAsia="Calibri"/>
          <w:snapToGrid/>
          <w:sz w:val="22"/>
          <w:szCs w:val="22"/>
        </w:rPr>
      </w:pPr>
      <w:r>
        <w:rPr>
          <w:snapToGrid/>
          <w:sz w:val="22"/>
          <w:szCs w:val="22"/>
        </w:rPr>
        <w:t>Le total des coefficients devra obligatoirement être égal à 1.</w:t>
      </w:r>
    </w:p>
    <w:p w14:paraId="159C1ADC" w14:textId="77777777" w:rsidR="005D2C86" w:rsidRPr="006015D0" w:rsidRDefault="005D2C86" w:rsidP="005D2C86">
      <w:pPr>
        <w:spacing w:after="120" w:line="276" w:lineRule="auto"/>
        <w:ind w:left="1701"/>
        <w:jc w:val="both"/>
        <w:outlineLvl w:val="8"/>
        <w:rPr>
          <w:rFonts w:eastAsia="Calibri"/>
          <w:snapToGrid/>
          <w:sz w:val="22"/>
          <w:szCs w:val="22"/>
        </w:rPr>
      </w:pPr>
      <w:r>
        <w:rPr>
          <w:snapToGrid/>
          <w:sz w:val="22"/>
          <w:szCs w:val="22"/>
        </w:rPr>
        <w:t xml:space="preserve">Les coefficients </w:t>
      </w:r>
      <w:proofErr w:type="gramStart"/>
      <w:r>
        <w:rPr>
          <w:snapToGrid/>
          <w:sz w:val="22"/>
          <w:szCs w:val="22"/>
        </w:rPr>
        <w:t>a</w:t>
      </w:r>
      <w:proofErr w:type="gramEnd"/>
      <w:r>
        <w:rPr>
          <w:snapToGrid/>
          <w:sz w:val="22"/>
          <w:szCs w:val="22"/>
        </w:rPr>
        <w:t xml:space="preserve">, b, c et d seront calculés sur la base de la ventilation détaillée des prix fournis par le contractant dans son offre. Le contractant devra fournir un mode de calcul mathématique clair pour les coefficients proposés. </w:t>
      </w:r>
    </w:p>
    <w:p w14:paraId="20BF39DF" w14:textId="77777777" w:rsidR="005D2C86" w:rsidRPr="006015D0" w:rsidRDefault="005D2C86" w:rsidP="005D2C86">
      <w:pPr>
        <w:spacing w:after="120" w:line="276" w:lineRule="auto"/>
        <w:ind w:left="1701"/>
        <w:jc w:val="both"/>
        <w:outlineLvl w:val="8"/>
        <w:rPr>
          <w:rFonts w:eastAsia="Calibri"/>
          <w:snapToGrid/>
          <w:sz w:val="22"/>
          <w:szCs w:val="22"/>
        </w:rPr>
      </w:pPr>
      <w:r>
        <w:rPr>
          <w:snapToGrid/>
          <w:sz w:val="22"/>
          <w:szCs w:val="22"/>
        </w:rPr>
        <w:t>Afin d’éviter de procéder à une double révision des prix, le coefficient «a» doit inclure le poids des intrants ou matériaux pour lesquels la formule mono-matériaux s’applique;</w:t>
      </w:r>
    </w:p>
    <w:p w14:paraId="52B245C3" w14:textId="5383FF2F" w:rsidR="005D2C86" w:rsidRDefault="005D2C86" w:rsidP="004A686C">
      <w:pPr>
        <w:numPr>
          <w:ilvl w:val="0"/>
          <w:numId w:val="8"/>
        </w:numPr>
        <w:spacing w:after="120"/>
        <w:ind w:left="1701" w:hanging="357"/>
        <w:jc w:val="both"/>
        <w:rPr>
          <w:sz w:val="22"/>
          <w:szCs w:val="22"/>
        </w:rPr>
      </w:pPr>
      <w:r>
        <w:rPr>
          <w:sz w:val="22"/>
          <w:szCs w:val="22"/>
        </w:rPr>
        <w:t>si le contractant apporte des changements dans l’origine de ses sources d’approvisionnement en matériaux, ou autres éléments entrant dans la réalisation des travaux, il en informera par écrit dans un délai de 30 jours le maître d’œuvre qui modifiera, en conséquence, les dispositions relatives à la révision des prix en y incorporant les indices des nouveaux pays d’origine</w:t>
      </w:r>
    </w:p>
    <w:p w14:paraId="5CDB4DEC" w14:textId="48106612" w:rsidR="009C012B" w:rsidRPr="00617532" w:rsidRDefault="009C012B" w:rsidP="0042293E">
      <w:pPr>
        <w:spacing w:after="120"/>
        <w:ind w:left="1276" w:hanging="709"/>
        <w:rPr>
          <w:bCs/>
          <w:sz w:val="22"/>
          <w:szCs w:val="22"/>
        </w:rPr>
      </w:pPr>
    </w:p>
    <w:p w14:paraId="2EC7CBEB" w14:textId="77777777" w:rsidR="001050EE" w:rsidRPr="00617532" w:rsidRDefault="001050EE" w:rsidP="0042293E">
      <w:pPr>
        <w:spacing w:after="120"/>
        <w:ind w:left="1276" w:hanging="1276"/>
        <w:jc w:val="both"/>
        <w:rPr>
          <w:b/>
          <w:szCs w:val="24"/>
        </w:rPr>
      </w:pPr>
      <w:r w:rsidRPr="00617532">
        <w:rPr>
          <w:b/>
          <w:szCs w:val="24"/>
        </w:rPr>
        <w:t>Article 49</w:t>
      </w:r>
      <w:r w:rsidRPr="00617532">
        <w:tab/>
      </w:r>
      <w:r w:rsidRPr="00617532">
        <w:rPr>
          <w:b/>
          <w:szCs w:val="24"/>
        </w:rPr>
        <w:t>Évaluation des travaux</w:t>
      </w:r>
    </w:p>
    <w:p w14:paraId="59104020" w14:textId="45986641" w:rsidR="001050EE" w:rsidRPr="006015D0" w:rsidRDefault="001050EE" w:rsidP="00533A18">
      <w:pPr>
        <w:spacing w:after="120"/>
        <w:ind w:left="1276" w:hanging="709"/>
        <w:jc w:val="both"/>
        <w:rPr>
          <w:sz w:val="22"/>
          <w:szCs w:val="22"/>
        </w:rPr>
      </w:pPr>
      <w:r w:rsidRPr="00617532">
        <w:rPr>
          <w:bCs/>
          <w:sz w:val="22"/>
          <w:szCs w:val="22"/>
        </w:rPr>
        <w:t>49.1</w:t>
      </w:r>
      <w:r w:rsidRPr="00617532">
        <w:tab/>
      </w:r>
      <w:r w:rsidRPr="00617532">
        <w:rPr>
          <w:sz w:val="22"/>
          <w:szCs w:val="22"/>
        </w:rPr>
        <w:t xml:space="preserve">À part les montants qualifiés comme forfaitaires dans le détail estimatif, ce marché est à prix unitaires </w:t>
      </w:r>
    </w:p>
    <w:p w14:paraId="3E46BE0A" w14:textId="77777777" w:rsidR="001050EE" w:rsidRPr="006015D0" w:rsidRDefault="001050EE" w:rsidP="00C50808">
      <w:pPr>
        <w:ind w:left="1276" w:hanging="1276"/>
        <w:jc w:val="both"/>
        <w:rPr>
          <w:b/>
          <w:szCs w:val="24"/>
        </w:rPr>
      </w:pPr>
      <w:r>
        <w:rPr>
          <w:b/>
          <w:szCs w:val="24"/>
        </w:rPr>
        <w:t>Article 50</w:t>
      </w:r>
      <w:r>
        <w:tab/>
      </w:r>
      <w:r w:rsidRPr="00C50808">
        <w:rPr>
          <w:b/>
          <w:szCs w:val="24"/>
        </w:rPr>
        <w:t>Acomptes</w:t>
      </w:r>
    </w:p>
    <w:p w14:paraId="797B90A8" w14:textId="77777777" w:rsidR="0001341A" w:rsidRPr="00E4233F" w:rsidRDefault="001050EE" w:rsidP="0001341A">
      <w:pPr>
        <w:spacing w:before="120" w:after="120"/>
        <w:ind w:left="1276" w:hanging="709"/>
        <w:jc w:val="both"/>
        <w:rPr>
          <w:sz w:val="22"/>
        </w:rPr>
      </w:pPr>
      <w:r>
        <w:rPr>
          <w:bCs/>
          <w:sz w:val="22"/>
          <w:szCs w:val="22"/>
        </w:rPr>
        <w:t>50.1</w:t>
      </w:r>
      <w:r>
        <w:tab/>
      </w:r>
      <w:r w:rsidR="0001341A" w:rsidRPr="00E4233F">
        <w:rPr>
          <w:sz w:val="22"/>
        </w:rPr>
        <w:t xml:space="preserve">En complément des dispositions des conditions générales, il est précisé que : </w:t>
      </w:r>
    </w:p>
    <w:p w14:paraId="14698747" w14:textId="013C58C6" w:rsidR="0001341A" w:rsidRDefault="0001341A" w:rsidP="0001341A">
      <w:pPr>
        <w:spacing w:before="120" w:after="120"/>
        <w:ind w:left="1985" w:hanging="284"/>
        <w:jc w:val="both"/>
        <w:rPr>
          <w:sz w:val="22"/>
        </w:rPr>
      </w:pPr>
      <w:r w:rsidRPr="00E4233F">
        <w:rPr>
          <w:sz w:val="22"/>
        </w:rPr>
        <w:t>a)</w:t>
      </w:r>
      <w:r w:rsidRPr="00E4233F">
        <w:rPr>
          <w:sz w:val="22"/>
        </w:rPr>
        <w:tab/>
        <w:t xml:space="preserve">Ne sont considérés comme exécutés pour « l’estimation de la valeur contractuelle des ouvrages permanents exécutés » que les ouvrages qui ont été pris en attachement. Une copie de tous les attachements concernés doit, en outre, être jointe à la facture. </w:t>
      </w:r>
    </w:p>
    <w:p w14:paraId="708107A0" w14:textId="77777777" w:rsidR="00983704" w:rsidRPr="00BC571D" w:rsidRDefault="00983704" w:rsidP="00983704">
      <w:pPr>
        <w:tabs>
          <w:tab w:val="right" w:pos="9885"/>
        </w:tabs>
        <w:spacing w:before="120" w:after="120"/>
        <w:ind w:left="1276" w:hanging="709"/>
        <w:jc w:val="both"/>
        <w:rPr>
          <w:sz w:val="22"/>
          <w:szCs w:val="22"/>
        </w:rPr>
      </w:pPr>
      <w:r>
        <w:rPr>
          <w:bCs/>
          <w:sz w:val="22"/>
          <w:szCs w:val="22"/>
        </w:rPr>
        <w:t>50.7</w:t>
      </w:r>
      <w:r>
        <w:tab/>
      </w:r>
      <w:r w:rsidRPr="00311468">
        <w:t xml:space="preserve">En complément des dispositions des conditions générales, il est précisé que </w:t>
      </w:r>
      <w:r>
        <w:t>l</w:t>
      </w:r>
      <w:r w:rsidRPr="00BC571D">
        <w:rPr>
          <w:sz w:val="22"/>
          <w:szCs w:val="22"/>
        </w:rPr>
        <w:t xml:space="preserve">a valeur minimale des paiements intermédiaires (décomptes provisoires) à introduire </w:t>
      </w:r>
      <w:r>
        <w:rPr>
          <w:sz w:val="22"/>
          <w:szCs w:val="22"/>
        </w:rPr>
        <w:br/>
      </w:r>
      <w:r w:rsidRPr="00BC571D">
        <w:rPr>
          <w:sz w:val="22"/>
          <w:szCs w:val="22"/>
        </w:rPr>
        <w:t>au niveau de Maitre d’Ouvrage ne sera pas inférieure à 10 000 euros.</w:t>
      </w:r>
    </w:p>
    <w:p w14:paraId="210E7568" w14:textId="77777777" w:rsidR="00983704" w:rsidRPr="00BC571D" w:rsidRDefault="00983704" w:rsidP="00983704">
      <w:pPr>
        <w:tabs>
          <w:tab w:val="right" w:pos="9885"/>
        </w:tabs>
        <w:spacing w:before="120" w:after="120"/>
        <w:ind w:left="1276" w:hanging="709"/>
        <w:jc w:val="both"/>
        <w:rPr>
          <w:sz w:val="22"/>
          <w:szCs w:val="22"/>
        </w:rPr>
      </w:pPr>
      <w:r w:rsidRPr="00BC571D">
        <w:rPr>
          <w:sz w:val="22"/>
          <w:szCs w:val="22"/>
        </w:rPr>
        <w:tab/>
        <w:t>Si au cours d’un mois déterminé, la valeur du décompte s’avère de moins de 10 000 euros, il faudrait attendre aux mois successifs afin que le cumule de décomptes provisoires dépassé les 10 000 euros.</w:t>
      </w:r>
    </w:p>
    <w:p w14:paraId="6F82577A" w14:textId="77777777" w:rsidR="001050EE" w:rsidRPr="006015D0" w:rsidRDefault="001050EE" w:rsidP="0042293E">
      <w:pPr>
        <w:spacing w:after="120"/>
        <w:ind w:left="1276" w:hanging="1276"/>
        <w:jc w:val="both"/>
        <w:rPr>
          <w:b/>
          <w:szCs w:val="24"/>
        </w:rPr>
      </w:pPr>
      <w:bookmarkStart w:id="4" w:name="_GoBack"/>
      <w:bookmarkEnd w:id="4"/>
      <w:r>
        <w:rPr>
          <w:b/>
          <w:szCs w:val="24"/>
        </w:rPr>
        <w:t>Article 51</w:t>
      </w:r>
      <w:r>
        <w:tab/>
      </w:r>
      <w:r>
        <w:rPr>
          <w:b/>
          <w:szCs w:val="24"/>
        </w:rPr>
        <w:t>Décompte définitif</w:t>
      </w:r>
    </w:p>
    <w:p w14:paraId="46920D89" w14:textId="77777777" w:rsidR="009E24C9" w:rsidRPr="00533A18" w:rsidRDefault="009E24C9" w:rsidP="0042293E">
      <w:pPr>
        <w:pStyle w:val="Text1"/>
        <w:spacing w:before="0"/>
        <w:ind w:left="1276" w:hanging="709"/>
        <w:rPr>
          <w:sz w:val="22"/>
          <w:szCs w:val="22"/>
        </w:rPr>
      </w:pPr>
      <w:r>
        <w:rPr>
          <w:sz w:val="22"/>
          <w:szCs w:val="22"/>
        </w:rPr>
        <w:t>51.1</w:t>
      </w:r>
      <w:r>
        <w:tab/>
      </w:r>
      <w:r w:rsidRPr="00533A18">
        <w:rPr>
          <w:sz w:val="22"/>
          <w:szCs w:val="22"/>
        </w:rPr>
        <w:t xml:space="preserve">Le projet de décompte définitif est remis, au plus tard, à la date de la demande par le contractant de l’établissement du certificat de réception définitive. Pour permettre au maître d’œuvre d’établir le décompte définitif, le projet de décompte définitif est soumis avec les documents permettant d’établir en détail la valeur des travaux réalisés conformément au marché et toutes autres </w:t>
      </w:r>
      <w:proofErr w:type="gramStart"/>
      <w:r w:rsidRPr="00533A18">
        <w:rPr>
          <w:sz w:val="22"/>
          <w:szCs w:val="22"/>
        </w:rPr>
        <w:t>sommes</w:t>
      </w:r>
      <w:proofErr w:type="gramEnd"/>
      <w:r w:rsidRPr="00533A18">
        <w:rPr>
          <w:sz w:val="22"/>
          <w:szCs w:val="22"/>
        </w:rPr>
        <w:t xml:space="preserve"> que le contractant estime lui être dues sur la base du marché.</w:t>
      </w:r>
    </w:p>
    <w:p w14:paraId="6C1E1FB4" w14:textId="77777777" w:rsidR="001050EE" w:rsidRPr="006015D0" w:rsidRDefault="009E24C9" w:rsidP="0042293E">
      <w:pPr>
        <w:spacing w:after="120"/>
        <w:ind w:left="1276" w:hanging="709"/>
        <w:jc w:val="both"/>
        <w:rPr>
          <w:sz w:val="22"/>
          <w:szCs w:val="22"/>
        </w:rPr>
      </w:pPr>
      <w:r w:rsidRPr="00533A18">
        <w:rPr>
          <w:sz w:val="22"/>
          <w:szCs w:val="22"/>
        </w:rPr>
        <w:t>51.2</w:t>
      </w:r>
      <w:r w:rsidRPr="009C012B">
        <w:tab/>
      </w:r>
      <w:r w:rsidRPr="00533A18">
        <w:rPr>
          <w:sz w:val="22"/>
          <w:szCs w:val="22"/>
        </w:rPr>
        <w:t>Le maître d’œuvre établit et signe le décompte définitif dans les 30 jours après l’établissement du certificat de réception définitive, prévu à l’article 62.</w:t>
      </w:r>
    </w:p>
    <w:p w14:paraId="4D94F4C9" w14:textId="77777777" w:rsidR="001050EE" w:rsidRPr="00E65F45" w:rsidRDefault="001050EE" w:rsidP="0042293E">
      <w:pPr>
        <w:spacing w:after="120"/>
        <w:ind w:left="1276" w:hanging="1276"/>
        <w:jc w:val="both"/>
        <w:rPr>
          <w:b/>
          <w:szCs w:val="24"/>
        </w:rPr>
      </w:pPr>
      <w:r w:rsidRPr="00E65F45">
        <w:rPr>
          <w:b/>
          <w:szCs w:val="24"/>
        </w:rPr>
        <w:t>Article 59</w:t>
      </w:r>
      <w:r w:rsidRPr="00E65F45">
        <w:tab/>
      </w:r>
      <w:r w:rsidRPr="00E65F45">
        <w:rPr>
          <w:b/>
          <w:szCs w:val="24"/>
        </w:rPr>
        <w:t>Réception partielle</w:t>
      </w:r>
    </w:p>
    <w:p w14:paraId="3924847E" w14:textId="77777777" w:rsidR="00E65F45" w:rsidRDefault="001050EE" w:rsidP="0042293E">
      <w:pPr>
        <w:tabs>
          <w:tab w:val="left" w:pos="3060"/>
        </w:tabs>
        <w:spacing w:after="120"/>
        <w:ind w:left="1276" w:hanging="709"/>
        <w:jc w:val="both"/>
        <w:rPr>
          <w:sz w:val="22"/>
          <w:szCs w:val="22"/>
        </w:rPr>
      </w:pPr>
      <w:r w:rsidRPr="00E65F45">
        <w:rPr>
          <w:bCs/>
          <w:sz w:val="22"/>
          <w:szCs w:val="22"/>
        </w:rPr>
        <w:t>59.3</w:t>
      </w:r>
      <w:r w:rsidRPr="00E65F45">
        <w:tab/>
      </w:r>
      <w:r w:rsidR="00E65F45" w:rsidRPr="00E65F45">
        <w:rPr>
          <w:sz w:val="22"/>
          <w:szCs w:val="22"/>
        </w:rPr>
        <w:t>La période de garantie visée à l’article 61 commence à partir de la date de réception provisoire de l’ensemble des travaux</w:t>
      </w:r>
      <w:r w:rsidR="00E65F45" w:rsidRPr="00C45BA1">
        <w:rPr>
          <w:sz w:val="22"/>
          <w:szCs w:val="22"/>
        </w:rPr>
        <w:t xml:space="preserve"> contractuels.</w:t>
      </w:r>
    </w:p>
    <w:p w14:paraId="4AD39D05" w14:textId="77777777" w:rsidR="001050EE" w:rsidRPr="006015D0" w:rsidRDefault="001050EE" w:rsidP="0042293E">
      <w:pPr>
        <w:spacing w:after="120"/>
        <w:ind w:left="1276" w:hanging="1276"/>
        <w:jc w:val="both"/>
        <w:rPr>
          <w:b/>
          <w:szCs w:val="24"/>
        </w:rPr>
      </w:pPr>
      <w:r>
        <w:rPr>
          <w:b/>
          <w:szCs w:val="24"/>
        </w:rPr>
        <w:t>Article 60</w:t>
      </w:r>
      <w:r>
        <w:tab/>
      </w:r>
      <w:r>
        <w:rPr>
          <w:b/>
          <w:szCs w:val="24"/>
        </w:rPr>
        <w:t>Réception provisoire</w:t>
      </w:r>
    </w:p>
    <w:p w14:paraId="53341A9A" w14:textId="30CC11E8" w:rsidR="009C012B" w:rsidRPr="000A7007" w:rsidRDefault="00101855" w:rsidP="009C012B">
      <w:pPr>
        <w:tabs>
          <w:tab w:val="left" w:pos="3060"/>
        </w:tabs>
        <w:spacing w:before="120" w:after="120"/>
        <w:ind w:left="1276" w:hanging="709"/>
        <w:jc w:val="both"/>
        <w:rPr>
          <w:sz w:val="22"/>
          <w:szCs w:val="24"/>
        </w:rPr>
      </w:pPr>
      <w:r>
        <w:rPr>
          <w:sz w:val="22"/>
          <w:szCs w:val="22"/>
        </w:rPr>
        <w:t>60.</w:t>
      </w:r>
      <w:r w:rsidR="009C012B">
        <w:rPr>
          <w:sz w:val="22"/>
          <w:szCs w:val="22"/>
        </w:rPr>
        <w:t>2</w:t>
      </w:r>
      <w:r>
        <w:tab/>
      </w:r>
      <w:r w:rsidR="009C012B" w:rsidRPr="000A7007">
        <w:rPr>
          <w:sz w:val="22"/>
          <w:szCs w:val="24"/>
        </w:rPr>
        <w:t xml:space="preserve">En complément des dispositions des conditions générales, il est spécifié que, sans préjudice du délai de 30 jours prévu : </w:t>
      </w:r>
    </w:p>
    <w:p w14:paraId="10ED664E" w14:textId="77777777" w:rsidR="009C012B" w:rsidRPr="000A7007" w:rsidRDefault="009C012B" w:rsidP="009C012B">
      <w:pPr>
        <w:tabs>
          <w:tab w:val="left" w:pos="3060"/>
        </w:tabs>
        <w:spacing w:before="120" w:after="120"/>
        <w:ind w:left="1843" w:hanging="142"/>
        <w:jc w:val="both"/>
        <w:rPr>
          <w:sz w:val="22"/>
          <w:szCs w:val="24"/>
        </w:rPr>
      </w:pPr>
      <w:r w:rsidRPr="000A7007">
        <w:rPr>
          <w:sz w:val="22"/>
          <w:szCs w:val="24"/>
        </w:rPr>
        <w:t>•</w:t>
      </w:r>
      <w:r w:rsidRPr="000A7007">
        <w:rPr>
          <w:sz w:val="22"/>
          <w:szCs w:val="24"/>
        </w:rPr>
        <w:tab/>
        <w:t>dès réception de la demande de réception provisoire, une date provisoire de visite de réception par le Maître d’œuvre sera fixée. Le Maître d’ouvrage et la Délégation de l’Union européenne seront conviés à cette visite</w:t>
      </w:r>
    </w:p>
    <w:p w14:paraId="7E7A8870" w14:textId="77777777" w:rsidR="009C012B" w:rsidRPr="000A7007" w:rsidRDefault="009C012B" w:rsidP="009C012B">
      <w:pPr>
        <w:tabs>
          <w:tab w:val="left" w:pos="3060"/>
        </w:tabs>
        <w:spacing w:before="120" w:after="120"/>
        <w:ind w:left="1843" w:hanging="142"/>
        <w:jc w:val="both"/>
        <w:rPr>
          <w:sz w:val="22"/>
          <w:szCs w:val="24"/>
        </w:rPr>
      </w:pPr>
      <w:r w:rsidRPr="000A7007">
        <w:rPr>
          <w:sz w:val="22"/>
          <w:szCs w:val="24"/>
        </w:rPr>
        <w:t>•</w:t>
      </w:r>
      <w:r w:rsidRPr="000A7007">
        <w:rPr>
          <w:sz w:val="22"/>
          <w:szCs w:val="24"/>
        </w:rPr>
        <w:tab/>
        <w:t xml:space="preserve">dans un délai de 10 jours à compter de la demande de réception provisoire, </w:t>
      </w:r>
      <w:r>
        <w:rPr>
          <w:sz w:val="22"/>
          <w:szCs w:val="24"/>
        </w:rPr>
        <w:br/>
      </w:r>
      <w:r w:rsidRPr="000A7007">
        <w:rPr>
          <w:sz w:val="22"/>
          <w:szCs w:val="24"/>
        </w:rPr>
        <w:t>le représentant du Maître d’œuvre procédera à une revue contradictoire complète des travaux réalisées (pré-réception), à l’issue de laquelle il décidera de soit rejeter la demande, soit confirmer la date de la visite de réception</w:t>
      </w:r>
    </w:p>
    <w:p w14:paraId="3DD1232E" w14:textId="77777777" w:rsidR="009C012B" w:rsidRPr="000A7007" w:rsidRDefault="009C012B" w:rsidP="009C012B">
      <w:pPr>
        <w:tabs>
          <w:tab w:val="left" w:pos="3060"/>
        </w:tabs>
        <w:spacing w:before="120" w:after="120"/>
        <w:ind w:left="1843" w:hanging="142"/>
        <w:jc w:val="both"/>
        <w:rPr>
          <w:sz w:val="22"/>
          <w:szCs w:val="24"/>
        </w:rPr>
      </w:pPr>
      <w:r w:rsidRPr="000A7007">
        <w:rPr>
          <w:sz w:val="22"/>
          <w:szCs w:val="24"/>
        </w:rPr>
        <w:t>•</w:t>
      </w:r>
      <w:r w:rsidRPr="000A7007">
        <w:rPr>
          <w:sz w:val="22"/>
          <w:szCs w:val="24"/>
        </w:rPr>
        <w:tab/>
        <w:t>un procès-verbal contradictoire de la visite de réception sera établie par le représentant du Maître d’œuvre et signé par les parties ayant participé à la visite</w:t>
      </w:r>
    </w:p>
    <w:p w14:paraId="1B3F642B" w14:textId="77777777" w:rsidR="009C012B" w:rsidRDefault="009C012B" w:rsidP="009C012B">
      <w:pPr>
        <w:tabs>
          <w:tab w:val="left" w:pos="3060"/>
        </w:tabs>
        <w:spacing w:before="120" w:after="120"/>
        <w:ind w:left="1843" w:hanging="142"/>
        <w:jc w:val="both"/>
        <w:rPr>
          <w:sz w:val="22"/>
          <w:szCs w:val="24"/>
        </w:rPr>
      </w:pPr>
      <w:r w:rsidRPr="000A7007">
        <w:rPr>
          <w:sz w:val="22"/>
          <w:szCs w:val="24"/>
        </w:rPr>
        <w:t>•</w:t>
      </w:r>
      <w:r w:rsidRPr="000A7007">
        <w:rPr>
          <w:sz w:val="22"/>
          <w:szCs w:val="24"/>
        </w:rPr>
        <w:tab/>
        <w:t>le certificat de réception provisoire, ou le refus de réception, sera ensuite établi et signé par le Maître d’œuvre, puis délivré conformément à l’article 60 des conditions générales</w:t>
      </w:r>
    </w:p>
    <w:p w14:paraId="152EB26D" w14:textId="77777777" w:rsidR="001050EE" w:rsidRPr="006015D0" w:rsidRDefault="001050EE" w:rsidP="0042293E">
      <w:pPr>
        <w:spacing w:after="120"/>
        <w:ind w:left="1276" w:hanging="1276"/>
        <w:jc w:val="both"/>
        <w:rPr>
          <w:b/>
          <w:szCs w:val="24"/>
        </w:rPr>
      </w:pPr>
      <w:r>
        <w:rPr>
          <w:b/>
          <w:szCs w:val="24"/>
        </w:rPr>
        <w:lastRenderedPageBreak/>
        <w:t>Article 61</w:t>
      </w:r>
      <w:r>
        <w:tab/>
      </w:r>
      <w:r>
        <w:rPr>
          <w:b/>
          <w:szCs w:val="24"/>
        </w:rPr>
        <w:t>Obligations au titre de la garantie</w:t>
      </w:r>
    </w:p>
    <w:p w14:paraId="3B7FBA6B" w14:textId="77777777" w:rsidR="00401C44" w:rsidRPr="006015D0" w:rsidRDefault="009E24C9" w:rsidP="0042293E">
      <w:pPr>
        <w:spacing w:after="120"/>
        <w:ind w:left="1276" w:hanging="709"/>
        <w:jc w:val="both"/>
        <w:rPr>
          <w:sz w:val="22"/>
          <w:szCs w:val="22"/>
        </w:rPr>
      </w:pPr>
      <w:r>
        <w:rPr>
          <w:sz w:val="22"/>
          <w:szCs w:val="22"/>
        </w:rPr>
        <w:t>61.1</w:t>
      </w:r>
      <w:r>
        <w:tab/>
      </w:r>
      <w:r>
        <w:rPr>
          <w:sz w:val="22"/>
          <w:szCs w:val="22"/>
        </w:rPr>
        <w:t xml:space="preserve">La période de garantie correspond à la période indiquée dans le marché qui commence à courir à partir de la date de la réception provisoire et pendant laquelle le contractant est tenu d’achever les travaux et de remédier aux vices et malfaçons selon les instructions du maître d’œuvre ou du maître d’ouvrage. Les droits et obligations des parties au regard de cette période de garantie sont définis à l’article 61 des conditions générales. </w:t>
      </w:r>
    </w:p>
    <w:p w14:paraId="45BB52DA" w14:textId="79300293" w:rsidR="002C5E6C" w:rsidRDefault="001050EE" w:rsidP="002C5E6C">
      <w:pPr>
        <w:shd w:val="clear" w:color="auto" w:fill="FFFFFF"/>
        <w:spacing w:before="120" w:after="120"/>
        <w:ind w:left="1276" w:hanging="709"/>
        <w:jc w:val="both"/>
        <w:rPr>
          <w:sz w:val="22"/>
          <w:szCs w:val="22"/>
        </w:rPr>
      </w:pPr>
      <w:r w:rsidRPr="00E65F45">
        <w:rPr>
          <w:bCs/>
          <w:sz w:val="22"/>
          <w:szCs w:val="22"/>
        </w:rPr>
        <w:t xml:space="preserve">61.6 </w:t>
      </w:r>
      <w:r w:rsidRPr="00E65F45">
        <w:tab/>
      </w:r>
      <w:r w:rsidR="002C5E6C" w:rsidRPr="00845955">
        <w:rPr>
          <w:sz w:val="22"/>
        </w:rPr>
        <w:t>Les travaux d’entretien durant la période de garantie sont à la charge exclusi</w:t>
      </w:r>
      <w:r w:rsidR="002C5E6C">
        <w:rPr>
          <w:sz w:val="22"/>
        </w:rPr>
        <w:t>ve</w:t>
      </w:r>
      <w:r w:rsidR="002C5E6C" w:rsidRPr="00845955">
        <w:rPr>
          <w:sz w:val="22"/>
        </w:rPr>
        <w:t xml:space="preserve"> du </w:t>
      </w:r>
      <w:r w:rsidR="002C5E6C">
        <w:rPr>
          <w:sz w:val="22"/>
        </w:rPr>
        <w:t>contractant</w:t>
      </w:r>
      <w:r w:rsidR="002C5E6C" w:rsidRPr="00845955">
        <w:rPr>
          <w:sz w:val="22"/>
        </w:rPr>
        <w:t xml:space="preserve"> tel qu’indiqué </w:t>
      </w:r>
      <w:r w:rsidR="00BB4303">
        <w:rPr>
          <w:sz w:val="22"/>
        </w:rPr>
        <w:t>a</w:t>
      </w:r>
      <w:r w:rsidR="002C5E6C" w:rsidRPr="00845955">
        <w:rPr>
          <w:sz w:val="22"/>
        </w:rPr>
        <w:t>u cahier de prescriptions techniques.</w:t>
      </w:r>
      <w:r w:rsidR="002C5E6C">
        <w:rPr>
          <w:sz w:val="22"/>
        </w:rPr>
        <w:t xml:space="preserve"> </w:t>
      </w:r>
      <w:r w:rsidR="002C5E6C" w:rsidRPr="009427E0">
        <w:rPr>
          <w:sz w:val="22"/>
          <w:szCs w:val="22"/>
        </w:rPr>
        <w:t xml:space="preserve">Durant </w:t>
      </w:r>
      <w:r w:rsidR="002C5E6C">
        <w:rPr>
          <w:sz w:val="22"/>
          <w:szCs w:val="22"/>
        </w:rPr>
        <w:t>la période</w:t>
      </w:r>
      <w:r w:rsidR="002C5E6C" w:rsidRPr="009427E0">
        <w:rPr>
          <w:sz w:val="22"/>
          <w:szCs w:val="22"/>
        </w:rPr>
        <w:t xml:space="preserve"> de garantie, le </w:t>
      </w:r>
      <w:r w:rsidR="002C5E6C">
        <w:rPr>
          <w:sz w:val="22"/>
          <w:szCs w:val="22"/>
        </w:rPr>
        <w:t>contractant</w:t>
      </w:r>
      <w:r w:rsidR="002C5E6C" w:rsidRPr="009427E0">
        <w:rPr>
          <w:sz w:val="22"/>
          <w:szCs w:val="22"/>
        </w:rPr>
        <w:t xml:space="preserve"> assurera au moins deux entretiens, le premier, six (6) mois après la réception provisoire et le second, onze (11) mois après la réception provisoire. Le représentant du maître d’œuvre notifiera les travaux d’entretien nécessaires, suite à une visite de terrain contradictoire avec le représentant attitré du </w:t>
      </w:r>
      <w:r w:rsidR="002C5E6C">
        <w:rPr>
          <w:sz w:val="22"/>
          <w:szCs w:val="22"/>
        </w:rPr>
        <w:t>contractant</w:t>
      </w:r>
      <w:r w:rsidR="002C5E6C" w:rsidRPr="009427E0">
        <w:rPr>
          <w:sz w:val="22"/>
          <w:szCs w:val="22"/>
        </w:rPr>
        <w:t>. Les réceptions techniques de ces deux phases de travaux d’entretien seront consignées dans des PV quand toutes les réserves seront levées.</w:t>
      </w:r>
    </w:p>
    <w:p w14:paraId="3E6644D8" w14:textId="77777777" w:rsidR="002C5E6C" w:rsidRPr="0033670C" w:rsidRDefault="002C5E6C" w:rsidP="002C5E6C">
      <w:pPr>
        <w:shd w:val="clear" w:color="auto" w:fill="FFFFFF"/>
        <w:spacing w:before="120" w:after="120"/>
        <w:ind w:left="1276" w:hanging="709"/>
        <w:jc w:val="both"/>
        <w:rPr>
          <w:sz w:val="22"/>
          <w:szCs w:val="22"/>
        </w:rPr>
      </w:pPr>
      <w:r w:rsidRPr="00C90731">
        <w:rPr>
          <w:bCs/>
          <w:sz w:val="22"/>
          <w:szCs w:val="22"/>
        </w:rPr>
        <w:t xml:space="preserve">61.7 </w:t>
      </w:r>
      <w:r w:rsidRPr="0033670C">
        <w:rPr>
          <w:sz w:val="22"/>
          <w:szCs w:val="22"/>
        </w:rPr>
        <w:tab/>
        <w:t xml:space="preserve">Les périodes de garanties seront </w:t>
      </w:r>
      <w:r>
        <w:rPr>
          <w:sz w:val="22"/>
          <w:szCs w:val="22"/>
        </w:rPr>
        <w:t xml:space="preserve">fixées comme </w:t>
      </w:r>
      <w:r w:rsidRPr="0033670C">
        <w:rPr>
          <w:sz w:val="22"/>
          <w:szCs w:val="22"/>
        </w:rPr>
        <w:t>suit :</w:t>
      </w:r>
    </w:p>
    <w:p w14:paraId="746BEF87" w14:textId="77777777" w:rsidR="002C5E6C" w:rsidRPr="0033670C" w:rsidRDefault="002C5E6C" w:rsidP="002C5E6C">
      <w:pPr>
        <w:pStyle w:val="ListParagraph"/>
        <w:numPr>
          <w:ilvl w:val="0"/>
          <w:numId w:val="38"/>
        </w:numPr>
        <w:spacing w:after="240"/>
        <w:ind w:left="1843" w:hanging="142"/>
        <w:jc w:val="both"/>
        <w:rPr>
          <w:rFonts w:ascii="Times New Roman" w:hAnsi="Times New Roman"/>
        </w:rPr>
      </w:pPr>
      <w:r w:rsidRPr="0033670C">
        <w:rPr>
          <w:rFonts w:ascii="Times New Roman" w:hAnsi="Times New Roman"/>
        </w:rPr>
        <w:t>Travaux</w:t>
      </w:r>
      <w:r>
        <w:rPr>
          <w:rFonts w:ascii="Times New Roman" w:hAnsi="Times New Roman"/>
        </w:rPr>
        <w:t xml:space="preserve"> de déblai et</w:t>
      </w:r>
      <w:r w:rsidRPr="0033670C">
        <w:rPr>
          <w:rFonts w:ascii="Times New Roman" w:hAnsi="Times New Roman"/>
        </w:rPr>
        <w:t xml:space="preserve"> de curage : aucune période de garantie, la réception provisoire vaudra réception définitive ;</w:t>
      </w:r>
    </w:p>
    <w:p w14:paraId="037246D9" w14:textId="6BD0FECF" w:rsidR="001050EE" w:rsidRPr="002C5E6C" w:rsidRDefault="002C5E6C" w:rsidP="002C5E6C">
      <w:pPr>
        <w:pStyle w:val="ListParagraph"/>
        <w:numPr>
          <w:ilvl w:val="0"/>
          <w:numId w:val="38"/>
        </w:numPr>
        <w:spacing w:after="240"/>
        <w:ind w:left="1843" w:hanging="142"/>
        <w:jc w:val="both"/>
        <w:rPr>
          <w:rFonts w:ascii="Times New Roman" w:hAnsi="Times New Roman"/>
        </w:rPr>
      </w:pPr>
      <w:r w:rsidRPr="0033670C">
        <w:rPr>
          <w:rFonts w:ascii="Times New Roman" w:hAnsi="Times New Roman"/>
        </w:rPr>
        <w:t>Ouvrages de génie civil et équipement</w:t>
      </w:r>
      <w:r>
        <w:rPr>
          <w:rFonts w:ascii="Times New Roman" w:hAnsi="Times New Roman"/>
        </w:rPr>
        <w:t>s</w:t>
      </w:r>
      <w:r w:rsidRPr="0033670C">
        <w:rPr>
          <w:rFonts w:ascii="Times New Roman" w:hAnsi="Times New Roman"/>
        </w:rPr>
        <w:t xml:space="preserve"> hydraulique</w:t>
      </w:r>
      <w:r>
        <w:rPr>
          <w:rFonts w:ascii="Times New Roman" w:hAnsi="Times New Roman"/>
        </w:rPr>
        <w:t>s</w:t>
      </w:r>
      <w:r w:rsidRPr="0033670C">
        <w:rPr>
          <w:rFonts w:ascii="Times New Roman" w:hAnsi="Times New Roman"/>
        </w:rPr>
        <w:t>: douze (12) mois à compter de la date de réception provisoire</w:t>
      </w:r>
    </w:p>
    <w:p w14:paraId="079B843E" w14:textId="77777777" w:rsidR="001050EE" w:rsidRPr="0095577B" w:rsidRDefault="001050EE" w:rsidP="0042293E">
      <w:pPr>
        <w:spacing w:after="120"/>
        <w:ind w:left="1276" w:hanging="1276"/>
        <w:jc w:val="both"/>
        <w:rPr>
          <w:b/>
          <w:szCs w:val="24"/>
        </w:rPr>
      </w:pPr>
      <w:r>
        <w:rPr>
          <w:b/>
          <w:szCs w:val="24"/>
        </w:rPr>
        <w:t>Article 68</w:t>
      </w:r>
      <w:r>
        <w:tab/>
      </w:r>
      <w:r>
        <w:rPr>
          <w:b/>
          <w:szCs w:val="24"/>
        </w:rPr>
        <w:t>Règlement des litiges</w:t>
      </w:r>
    </w:p>
    <w:p w14:paraId="6FD6EF0E" w14:textId="3C669FAD" w:rsidR="001050EE" w:rsidRPr="00533A18" w:rsidRDefault="001050EE" w:rsidP="00533A18">
      <w:pPr>
        <w:autoSpaceDE w:val="0"/>
        <w:autoSpaceDN w:val="0"/>
        <w:adjustRightInd w:val="0"/>
        <w:spacing w:after="120"/>
        <w:ind w:left="1276" w:hanging="709"/>
        <w:jc w:val="both"/>
        <w:rPr>
          <w:sz w:val="22"/>
          <w:szCs w:val="22"/>
        </w:rPr>
      </w:pPr>
      <w:r>
        <w:rPr>
          <w:rStyle w:val="DefaultMargins"/>
          <w:rFonts w:ascii="Times New Roman" w:hAnsi="Times New Roman"/>
          <w:bCs/>
          <w:sz w:val="22"/>
          <w:szCs w:val="22"/>
        </w:rPr>
        <w:t>68.4</w:t>
      </w:r>
      <w:r>
        <w:tab/>
      </w:r>
      <w:r w:rsidRPr="00533A18">
        <w:rPr>
          <w:sz w:val="22"/>
          <w:szCs w:val="22"/>
        </w:rPr>
        <w:t>Tout litige entre les parties résultant du marché ou ayant un lien avec le marché, qui ne peut être réglé autrement,</w:t>
      </w:r>
    </w:p>
    <w:p w14:paraId="239DE925" w14:textId="3CE4BC83" w:rsidR="001050EE" w:rsidRPr="00533A18" w:rsidRDefault="001050EE" w:rsidP="0042293E">
      <w:pPr>
        <w:autoSpaceDE w:val="0"/>
        <w:autoSpaceDN w:val="0"/>
        <w:adjustRightInd w:val="0"/>
        <w:spacing w:after="120"/>
        <w:ind w:left="1701" w:hanging="357"/>
        <w:jc w:val="both"/>
        <w:rPr>
          <w:sz w:val="22"/>
          <w:szCs w:val="22"/>
        </w:rPr>
      </w:pPr>
      <w:r w:rsidRPr="00533A18">
        <w:rPr>
          <w:sz w:val="22"/>
          <w:szCs w:val="22"/>
        </w:rPr>
        <w:t>a)</w:t>
      </w:r>
      <w:r w:rsidRPr="009C012B">
        <w:tab/>
      </w:r>
      <w:r w:rsidRPr="00533A18">
        <w:rPr>
          <w:sz w:val="22"/>
          <w:szCs w:val="22"/>
        </w:rPr>
        <w:t xml:space="preserve">en cas de marché national, sera réglé conformément à la législation nationale de l’État du maître </w:t>
      </w:r>
      <w:r w:rsidR="00617532" w:rsidRPr="00533A18">
        <w:rPr>
          <w:sz w:val="22"/>
          <w:szCs w:val="22"/>
        </w:rPr>
        <w:t>d’ouvrage ;</w:t>
      </w:r>
      <w:r w:rsidRPr="00533A18">
        <w:rPr>
          <w:sz w:val="22"/>
          <w:szCs w:val="22"/>
        </w:rPr>
        <w:t xml:space="preserve"> et</w:t>
      </w:r>
    </w:p>
    <w:p w14:paraId="7C05EA0F" w14:textId="2E20B4D0" w:rsidR="001050EE" w:rsidRPr="00533A18" w:rsidRDefault="001050EE" w:rsidP="0042293E">
      <w:pPr>
        <w:autoSpaceDE w:val="0"/>
        <w:autoSpaceDN w:val="0"/>
        <w:adjustRightInd w:val="0"/>
        <w:spacing w:after="120"/>
        <w:ind w:left="1701" w:hanging="357"/>
        <w:jc w:val="both"/>
        <w:rPr>
          <w:sz w:val="22"/>
          <w:szCs w:val="22"/>
        </w:rPr>
      </w:pPr>
      <w:r w:rsidRPr="00533A18">
        <w:rPr>
          <w:sz w:val="22"/>
          <w:szCs w:val="22"/>
        </w:rPr>
        <w:t>b)</w:t>
      </w:r>
      <w:r w:rsidRPr="009C012B">
        <w:tab/>
      </w:r>
      <w:r w:rsidRPr="00533A18">
        <w:rPr>
          <w:sz w:val="22"/>
          <w:szCs w:val="22"/>
        </w:rPr>
        <w:t xml:space="preserve">en cas de marché transnational, sera réglé </w:t>
      </w:r>
      <w:r w:rsidR="00617532" w:rsidRPr="00533A18">
        <w:rPr>
          <w:sz w:val="22"/>
          <w:szCs w:val="22"/>
        </w:rPr>
        <w:t>soit :</w:t>
      </w:r>
    </w:p>
    <w:p w14:paraId="09F13571" w14:textId="37C548CF" w:rsidR="001050EE" w:rsidRPr="00533A18" w:rsidRDefault="001050EE" w:rsidP="0042293E">
      <w:pPr>
        <w:autoSpaceDE w:val="0"/>
        <w:autoSpaceDN w:val="0"/>
        <w:adjustRightInd w:val="0"/>
        <w:spacing w:after="120"/>
        <w:ind w:left="2127" w:hanging="357"/>
        <w:jc w:val="both"/>
        <w:rPr>
          <w:sz w:val="22"/>
          <w:szCs w:val="22"/>
        </w:rPr>
      </w:pPr>
      <w:r w:rsidRPr="00533A18">
        <w:rPr>
          <w:sz w:val="22"/>
          <w:szCs w:val="22"/>
        </w:rPr>
        <w:t>i)</w:t>
      </w:r>
      <w:r w:rsidRPr="009C012B">
        <w:tab/>
      </w:r>
      <w:r w:rsidRPr="00533A18">
        <w:rPr>
          <w:sz w:val="22"/>
          <w:szCs w:val="22"/>
        </w:rPr>
        <w:t xml:space="preserve">si les parties contractantes sont d’accord à cet égard, conformément à la législation nationale de l’État du maître d’ouvrage ou de ses pratiques internationales </w:t>
      </w:r>
      <w:r w:rsidR="00617532" w:rsidRPr="00533A18">
        <w:rPr>
          <w:sz w:val="22"/>
          <w:szCs w:val="22"/>
        </w:rPr>
        <w:t>établies ;</w:t>
      </w:r>
      <w:r w:rsidRPr="00533A18">
        <w:rPr>
          <w:sz w:val="22"/>
          <w:szCs w:val="22"/>
        </w:rPr>
        <w:t xml:space="preserve"> ou</w:t>
      </w:r>
    </w:p>
    <w:p w14:paraId="059BEA6C" w14:textId="5CF58855" w:rsidR="00B8053F" w:rsidRPr="006015D0" w:rsidRDefault="001050EE" w:rsidP="0042293E">
      <w:pPr>
        <w:autoSpaceDE w:val="0"/>
        <w:autoSpaceDN w:val="0"/>
        <w:adjustRightInd w:val="0"/>
        <w:spacing w:after="120"/>
        <w:ind w:left="2127" w:hanging="360"/>
        <w:jc w:val="both"/>
        <w:rPr>
          <w:sz w:val="22"/>
          <w:szCs w:val="22"/>
        </w:rPr>
      </w:pPr>
      <w:r w:rsidRPr="00533A18">
        <w:rPr>
          <w:sz w:val="22"/>
          <w:szCs w:val="22"/>
        </w:rPr>
        <w:t>ii)</w:t>
      </w:r>
      <w:r w:rsidRPr="009C012B">
        <w:tab/>
      </w:r>
      <w:r w:rsidRPr="00533A18">
        <w:rPr>
          <w:sz w:val="22"/>
          <w:szCs w:val="22"/>
        </w:rPr>
        <w:t>par arbitrage conformément au règlement de procédure de conciliation et d’arbitrage pour les marchés financés par le Fonds européen de développement, adopté par la décision nº 3/90 du Conseil des ministres ACP-CE du 29 mars 1990 (JO L 382 du 31.12.1990. Voir annexe A12 du Guide pratique).</w:t>
      </w:r>
    </w:p>
    <w:p w14:paraId="2B51C6DD" w14:textId="77777777" w:rsidR="004321C9" w:rsidRPr="00533A18" w:rsidRDefault="004321C9" w:rsidP="0042293E">
      <w:pPr>
        <w:keepNext/>
        <w:keepLines/>
        <w:tabs>
          <w:tab w:val="left" w:pos="1134"/>
        </w:tabs>
        <w:spacing w:after="120"/>
        <w:ind w:left="1134" w:hanging="1134"/>
        <w:rPr>
          <w:b/>
          <w:szCs w:val="24"/>
        </w:rPr>
      </w:pPr>
      <w:r w:rsidRPr="00533A18">
        <w:rPr>
          <w:b/>
          <w:szCs w:val="24"/>
        </w:rPr>
        <w:t>Article 72</w:t>
      </w:r>
      <w:r w:rsidRPr="004C1536">
        <w:tab/>
      </w:r>
      <w:r w:rsidRPr="00533A18">
        <w:rPr>
          <w:b/>
          <w:szCs w:val="24"/>
        </w:rPr>
        <w:t>Protection des données</w:t>
      </w:r>
    </w:p>
    <w:p w14:paraId="151F80AC" w14:textId="6F36362A" w:rsidR="004C1536" w:rsidRPr="00533A18" w:rsidRDefault="003B164A" w:rsidP="00533A18">
      <w:pPr>
        <w:numPr>
          <w:ilvl w:val="0"/>
          <w:numId w:val="32"/>
        </w:numPr>
        <w:spacing w:after="120"/>
        <w:ind w:left="1418" w:hanging="284"/>
        <w:jc w:val="both"/>
        <w:rPr>
          <w:sz w:val="22"/>
          <w:szCs w:val="22"/>
        </w:rPr>
      </w:pPr>
      <w:r w:rsidRPr="00533A18">
        <w:rPr>
          <w:sz w:val="22"/>
          <w:szCs w:val="22"/>
        </w:rPr>
        <w:t>Le traitement des données à caractère personnel liées à l’exécution du marché par le maître d’ouvrage se déroule conformément à la législation nationale de l’État du maître d’ouvrage et aux dispositions de la convention de financement correspondante.</w:t>
      </w:r>
    </w:p>
    <w:p w14:paraId="46A57B39" w14:textId="08196000" w:rsidR="003B164A" w:rsidRPr="004C1536" w:rsidRDefault="003B164A" w:rsidP="00533A18">
      <w:pPr>
        <w:numPr>
          <w:ilvl w:val="0"/>
          <w:numId w:val="32"/>
        </w:numPr>
        <w:spacing w:after="120"/>
        <w:ind w:left="1418" w:hanging="284"/>
        <w:jc w:val="both"/>
        <w:rPr>
          <w:sz w:val="22"/>
          <w:szCs w:val="22"/>
          <w:u w:val="single"/>
        </w:rPr>
      </w:pPr>
      <w:r w:rsidRPr="00533A18">
        <w:rPr>
          <w:sz w:val="22"/>
          <w:szCs w:val="22"/>
        </w:rPr>
        <w:t xml:space="preserve">Dans la mesure où le marché couvre une action financée par l’Union européenne, le maître d’ouvrage peut partager avec la Commission européenne les communications relatives à l’exécution du marché. Ces échanges sont faits à la Commission, uniquement dans le but de permettre à cette dernière d’exercer ses droits et obligations en vertu du cadre législatif applicable et de la convention de financement avec le pays partenaire - le maître d’ouvrage. Les échanges peuvent impliquer des transferts de données à caractère personnel (telles que les noms, les coordonnées, les signatures et les CV) de personnes physiques participant à l’exécution du marché (telles que les contractants, le personnel, les experts, les stagiaires, les sous-traitants, les assureurs, les garants, les auditeurs et les conseillers juridiques). Dans les cas où le contractant traite des données à caractère personnel dans le cadre de l’exécution du marché, il informe en conséquence les </w:t>
      </w:r>
      <w:r w:rsidRPr="00533A18">
        <w:rPr>
          <w:sz w:val="22"/>
          <w:szCs w:val="22"/>
        </w:rPr>
        <w:lastRenderedPageBreak/>
        <w:t>personnes concernées de la transmission éventuelle de leurs données à la Commission. Toute donnée à caractère personnel transmise à la Commission sera traitée par cette dernière conformément aux dispositions du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w:t>
      </w:r>
      <w:r w:rsidRPr="00533A18">
        <w:rPr>
          <w:rStyle w:val="FootnoteReference"/>
          <w:sz w:val="22"/>
          <w:szCs w:val="22"/>
        </w:rPr>
        <w:footnoteReference w:id="1"/>
      </w:r>
      <w:r w:rsidRPr="00533A18">
        <w:rPr>
          <w:sz w:val="22"/>
          <w:szCs w:val="22"/>
        </w:rPr>
        <w:t xml:space="preserve">, et comme détaillé dans la déclaration relative à la protection de la vie privée disponible dans </w:t>
      </w:r>
      <w:proofErr w:type="spellStart"/>
      <w:r w:rsidRPr="00533A18">
        <w:rPr>
          <w:sz w:val="22"/>
          <w:szCs w:val="22"/>
        </w:rPr>
        <w:t>ePRAG</w:t>
      </w:r>
      <w:proofErr w:type="spellEnd"/>
      <w:r w:rsidRPr="00533A18">
        <w:rPr>
          <w:sz w:val="22"/>
          <w:szCs w:val="22"/>
        </w:rPr>
        <w:t>.</w:t>
      </w:r>
    </w:p>
    <w:p w14:paraId="06CC5B6D" w14:textId="569A412E" w:rsidR="001050EE" w:rsidRPr="006015D0" w:rsidRDefault="003B164A" w:rsidP="00533A18">
      <w:pPr>
        <w:spacing w:after="120"/>
        <w:ind w:left="1276" w:hanging="1276"/>
        <w:jc w:val="both"/>
        <w:rPr>
          <w:sz w:val="22"/>
          <w:szCs w:val="22"/>
        </w:rPr>
      </w:pPr>
      <w:r w:rsidRPr="006D15C4">
        <w:rPr>
          <w:sz w:val="22"/>
          <w:szCs w:val="22"/>
          <w:highlight w:val="lightGray"/>
        </w:rPr>
        <w:t xml:space="preserve"> </w:t>
      </w:r>
    </w:p>
    <w:p w14:paraId="68DC0677" w14:textId="77777777" w:rsidR="00E5391D" w:rsidRPr="006015D0" w:rsidRDefault="00E5391D" w:rsidP="0042293E">
      <w:pPr>
        <w:spacing w:after="120"/>
        <w:jc w:val="center"/>
        <w:rPr>
          <w:b/>
          <w:bCs/>
          <w:sz w:val="22"/>
          <w:szCs w:val="22"/>
        </w:rPr>
      </w:pPr>
      <w:r>
        <w:rPr>
          <w:sz w:val="22"/>
          <w:szCs w:val="22"/>
        </w:rPr>
        <w:t>* * *</w:t>
      </w:r>
    </w:p>
    <w:sectPr w:rsidR="00E5391D" w:rsidRPr="006015D0" w:rsidSect="003A272E">
      <w:headerReference w:type="even" r:id="rId26"/>
      <w:headerReference w:type="default" r:id="rId27"/>
      <w:footerReference w:type="even" r:id="rId28"/>
      <w:footerReference w:type="default" r:id="rId29"/>
      <w:headerReference w:type="first" r:id="rId30"/>
      <w:footerReference w:type="first" r:id="rId31"/>
      <w:pgSz w:w="11907" w:h="16840" w:code="9"/>
      <w:pgMar w:top="1298" w:right="1298" w:bottom="1077"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8A5F6" w14:textId="77777777" w:rsidR="006D15C4" w:rsidRPr="00E725FE" w:rsidRDefault="006D15C4">
      <w:r>
        <w:separator/>
      </w:r>
    </w:p>
  </w:endnote>
  <w:endnote w:type="continuationSeparator" w:id="0">
    <w:p w14:paraId="4233BD8D" w14:textId="77777777" w:rsidR="006D15C4" w:rsidRPr="00E725FE" w:rsidRDefault="006D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93EA8" w14:textId="77777777" w:rsidR="005D2C86" w:rsidRDefault="005D2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67258381" w14:textId="77777777" w:rsidR="005D2C86" w:rsidRDefault="005D2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16A2" w14:textId="77777777" w:rsidR="005D2C86" w:rsidRDefault="005D2C86" w:rsidP="00B3283E">
    <w:pPr>
      <w:pStyle w:val="Footer"/>
      <w:tabs>
        <w:tab w:val="clear" w:pos="4320"/>
        <w:tab w:val="clear" w:pos="8640"/>
        <w:tab w:val="right" w:pos="9214"/>
      </w:tabs>
      <w:ind w:right="5"/>
      <w:rPr>
        <w:b/>
        <w:sz w:val="18"/>
        <w:szCs w:val="18"/>
      </w:rPr>
    </w:pPr>
  </w:p>
  <w:p w14:paraId="23810A9D" w14:textId="7EA44675" w:rsidR="005D2C86" w:rsidRPr="005855DE" w:rsidRDefault="005D2C86" w:rsidP="00B3283E">
    <w:pPr>
      <w:pStyle w:val="Footer"/>
      <w:tabs>
        <w:tab w:val="clear" w:pos="4320"/>
        <w:tab w:val="clear" w:pos="8640"/>
        <w:tab w:val="right" w:pos="9214"/>
      </w:tabs>
      <w:ind w:right="5"/>
      <w:rPr>
        <w:rStyle w:val="PageNumber"/>
        <w:sz w:val="18"/>
        <w:szCs w:val="18"/>
        <w:lang w:val="en-US"/>
      </w:rPr>
    </w:pPr>
    <w:r w:rsidRPr="005855DE">
      <w:rPr>
        <w:b/>
        <w:sz w:val="18"/>
        <w:lang w:val="en-US"/>
      </w:rPr>
      <w:t>2021.1</w:t>
    </w:r>
    <w:r w:rsidRPr="005855DE">
      <w:rPr>
        <w:lang w:val="en-US"/>
      </w:rPr>
      <w:tab/>
    </w:r>
    <w:r w:rsidRPr="005855DE">
      <w:rPr>
        <w:sz w:val="18"/>
        <w:szCs w:val="18"/>
        <w:lang w:val="en-US"/>
      </w:rPr>
      <w:t>Page </w:t>
    </w:r>
    <w:r>
      <w:rPr>
        <w:rStyle w:val="PageNumber"/>
        <w:sz w:val="18"/>
        <w:szCs w:val="18"/>
      </w:rPr>
      <w:fldChar w:fldCharType="begin"/>
    </w:r>
    <w:r w:rsidRPr="005855DE">
      <w:rPr>
        <w:rStyle w:val="PageNumber"/>
        <w:sz w:val="18"/>
        <w:szCs w:val="18"/>
        <w:lang w:val="en-US"/>
      </w:rPr>
      <w:instrText xml:space="preserve"> PAGE </w:instrText>
    </w:r>
    <w:r>
      <w:rPr>
        <w:rStyle w:val="PageNumber"/>
        <w:sz w:val="18"/>
        <w:szCs w:val="18"/>
      </w:rPr>
      <w:fldChar w:fldCharType="separate"/>
    </w:r>
    <w:r w:rsidR="003D6BD4" w:rsidRPr="005855DE">
      <w:rPr>
        <w:rStyle w:val="PageNumber"/>
        <w:noProof/>
        <w:sz w:val="18"/>
        <w:szCs w:val="18"/>
        <w:lang w:val="en-US"/>
      </w:rPr>
      <w:t>1</w:t>
    </w:r>
    <w:r>
      <w:rPr>
        <w:rStyle w:val="PageNumber"/>
        <w:sz w:val="18"/>
        <w:szCs w:val="18"/>
      </w:rPr>
      <w:fldChar w:fldCharType="end"/>
    </w:r>
    <w:r w:rsidRPr="005855DE">
      <w:rPr>
        <w:rStyle w:val="PageNumber"/>
        <w:sz w:val="18"/>
        <w:szCs w:val="18"/>
        <w:lang w:val="en-US"/>
      </w:rPr>
      <w:t xml:space="preserve"> sur </w:t>
    </w:r>
    <w:r>
      <w:rPr>
        <w:rStyle w:val="PageNumber"/>
        <w:sz w:val="18"/>
        <w:szCs w:val="18"/>
      </w:rPr>
      <w:fldChar w:fldCharType="begin"/>
    </w:r>
    <w:r w:rsidRPr="005855DE">
      <w:rPr>
        <w:rStyle w:val="PageNumber"/>
        <w:sz w:val="18"/>
        <w:szCs w:val="18"/>
        <w:lang w:val="en-US"/>
      </w:rPr>
      <w:instrText xml:space="preserve"> NUMPAGES </w:instrText>
    </w:r>
    <w:r>
      <w:rPr>
        <w:rStyle w:val="PageNumber"/>
        <w:sz w:val="18"/>
        <w:szCs w:val="18"/>
      </w:rPr>
      <w:fldChar w:fldCharType="separate"/>
    </w:r>
    <w:r w:rsidR="003D6BD4" w:rsidRPr="005855DE">
      <w:rPr>
        <w:rStyle w:val="PageNumber"/>
        <w:noProof/>
        <w:sz w:val="18"/>
        <w:szCs w:val="18"/>
        <w:lang w:val="en-US"/>
      </w:rPr>
      <w:t>13</w:t>
    </w:r>
    <w:r>
      <w:rPr>
        <w:rStyle w:val="PageNumber"/>
        <w:sz w:val="18"/>
        <w:szCs w:val="18"/>
      </w:rPr>
      <w:fldChar w:fldCharType="end"/>
    </w:r>
  </w:p>
  <w:p w14:paraId="2880E0A2" w14:textId="7CD378F8" w:rsidR="005D2C86" w:rsidRPr="005855DE" w:rsidRDefault="005D2C86" w:rsidP="00582940">
    <w:pPr>
      <w:rPr>
        <w:sz w:val="18"/>
        <w:szCs w:val="18"/>
        <w:lang w:val="en-US"/>
      </w:rPr>
    </w:pPr>
    <w:r>
      <w:rPr>
        <w:sz w:val="18"/>
        <w:szCs w:val="18"/>
      </w:rPr>
      <w:fldChar w:fldCharType="begin"/>
    </w:r>
    <w:r w:rsidRPr="005855DE">
      <w:rPr>
        <w:sz w:val="18"/>
        <w:szCs w:val="18"/>
        <w:lang w:val="en-US"/>
      </w:rPr>
      <w:instrText xml:space="preserve"> FILENAME </w:instrText>
    </w:r>
    <w:r>
      <w:rPr>
        <w:sz w:val="18"/>
        <w:szCs w:val="18"/>
      </w:rPr>
      <w:fldChar w:fldCharType="separate"/>
    </w:r>
    <w:r w:rsidR="005855DE" w:rsidRPr="005855DE">
      <w:rPr>
        <w:noProof/>
        <w:sz w:val="18"/>
        <w:szCs w:val="18"/>
        <w:lang w:val="en-US"/>
      </w:rPr>
      <w:t>V2-S3a d4o_specialconditions_fr Lot3 -H-VN-H_DUE -H-T</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AAE23" w14:textId="77777777" w:rsidR="005D2C86" w:rsidRDefault="005D2C86" w:rsidP="00F2670B">
    <w:pPr>
      <w:pStyle w:val="Footer"/>
      <w:tabs>
        <w:tab w:val="clear" w:pos="4320"/>
        <w:tab w:val="clear" w:pos="8640"/>
        <w:tab w:val="right" w:pos="8931"/>
      </w:tabs>
      <w:ind w:right="6"/>
      <w:rPr>
        <w:b/>
        <w:sz w:val="18"/>
        <w:szCs w:val="18"/>
      </w:rPr>
    </w:pPr>
  </w:p>
  <w:p w14:paraId="39174989" w14:textId="77777777" w:rsidR="005D2C86" w:rsidRPr="009423FB" w:rsidRDefault="005D2C86" w:rsidP="00F2670B">
    <w:pPr>
      <w:pStyle w:val="Footer"/>
      <w:tabs>
        <w:tab w:val="clear" w:pos="4320"/>
        <w:tab w:val="clear" w:pos="8640"/>
        <w:tab w:val="right" w:pos="8931"/>
      </w:tabs>
      <w:ind w:right="6"/>
      <w:rPr>
        <w:rStyle w:val="PageNumber"/>
        <w:sz w:val="18"/>
        <w:szCs w:val="18"/>
      </w:rPr>
    </w:pPr>
    <w:r>
      <w:rPr>
        <w:b/>
        <w:sz w:val="18"/>
        <w:szCs w:val="18"/>
      </w:rPr>
      <w:t>Mai 2018</w:t>
    </w:r>
    <w:r>
      <w:tab/>
    </w:r>
    <w:r>
      <w:rPr>
        <w:rStyle w:val="PageNumber"/>
        <w:sz w:val="18"/>
        <w:szCs w:val="18"/>
      </w:rPr>
      <w:t>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1</w:t>
    </w:r>
    <w:r>
      <w:rPr>
        <w:rStyle w:val="PageNumber"/>
        <w:sz w:val="18"/>
        <w:szCs w:val="18"/>
      </w:rPr>
      <w:fldChar w:fldCharType="end"/>
    </w:r>
    <w:r>
      <w:rPr>
        <w:rStyle w:val="PageNumber"/>
        <w:sz w:val="18"/>
        <w:szCs w:val="18"/>
      </w:rPr>
      <w:t xml:space="preserve"> sur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Pr>
        <w:rStyle w:val="PageNumber"/>
        <w:sz w:val="18"/>
        <w:szCs w:val="18"/>
      </w:rPr>
      <w:t>12</w:t>
    </w:r>
    <w:r>
      <w:rPr>
        <w:rStyle w:val="PageNumber"/>
        <w:sz w:val="18"/>
        <w:szCs w:val="18"/>
      </w:rPr>
      <w:fldChar w:fldCharType="end"/>
    </w:r>
  </w:p>
  <w:p w14:paraId="4D6CD7EC" w14:textId="15D30A84" w:rsidR="005D2C86" w:rsidRPr="00004B49" w:rsidRDefault="005D2C86" w:rsidP="00004B49">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5855DE">
      <w:rPr>
        <w:noProof/>
        <w:sz w:val="18"/>
        <w:szCs w:val="18"/>
      </w:rPr>
      <w:t>V2-S3a d4o_specialconditions_fr Lot3 -H-VN-H_DUE -H-T</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B42D6" w14:textId="77777777" w:rsidR="006D15C4" w:rsidRPr="00E725FE" w:rsidRDefault="006D15C4">
      <w:r>
        <w:separator/>
      </w:r>
    </w:p>
  </w:footnote>
  <w:footnote w:type="continuationSeparator" w:id="0">
    <w:p w14:paraId="220D2719" w14:textId="77777777" w:rsidR="006D15C4" w:rsidRPr="00E725FE" w:rsidRDefault="006D15C4">
      <w:r>
        <w:continuationSeparator/>
      </w:r>
    </w:p>
  </w:footnote>
  <w:footnote w:id="1">
    <w:p w14:paraId="499E34E8" w14:textId="77777777" w:rsidR="005D2C86" w:rsidRDefault="005D2C86" w:rsidP="003B164A">
      <w:pPr>
        <w:pStyle w:val="FootnoteText"/>
      </w:pPr>
      <w:r>
        <w:rPr>
          <w:rStyle w:val="FootnoteReference"/>
        </w:rPr>
        <w:footnoteRef/>
      </w:r>
      <w:r>
        <w:t xml:space="preserve"> JO L 205 du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E579" w14:textId="77777777" w:rsidR="005D2C86" w:rsidRDefault="005D2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FB64" w14:textId="77777777" w:rsidR="005D2C86" w:rsidRDefault="005D2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26B8" w14:textId="77777777" w:rsidR="005D2C86" w:rsidRDefault="005D2C86" w:rsidP="0058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6561D4F" w14:textId="77777777" w:rsidR="005D2C86" w:rsidRDefault="005D2C86"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572D"/>
    <w:multiLevelType w:val="hybridMultilevel"/>
    <w:tmpl w:val="57CEEF8A"/>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D318D"/>
    <w:multiLevelType w:val="hybridMultilevel"/>
    <w:tmpl w:val="52200046"/>
    <w:lvl w:ilvl="0" w:tplc="5E4ABFA4">
      <w:start w:val="1"/>
      <w:numFmt w:val="bullet"/>
      <w:lvlText w:val="-"/>
      <w:lvlJc w:val="left"/>
      <w:pPr>
        <w:ind w:left="720" w:hanging="360"/>
      </w:pPr>
      <w:rPr>
        <w:rFonts w:ascii="Sylfaen" w:hAnsi="Sylfaen" w:hint="default"/>
      </w:rPr>
    </w:lvl>
    <w:lvl w:ilvl="1" w:tplc="040C0003">
      <w:start w:val="1"/>
      <w:numFmt w:val="bullet"/>
      <w:lvlText w:val="o"/>
      <w:lvlJc w:val="left"/>
      <w:pPr>
        <w:ind w:left="1440" w:hanging="360"/>
      </w:pPr>
      <w:rPr>
        <w:rFonts w:ascii="Courier New" w:hAnsi="Courier New"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Light"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Light"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3D4CFC"/>
    <w:multiLevelType w:val="multilevel"/>
    <w:tmpl w:val="9D9AB5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9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E14D10"/>
    <w:multiLevelType w:val="hybridMultilevel"/>
    <w:tmpl w:val="295C2562"/>
    <w:lvl w:ilvl="0" w:tplc="040C0001">
      <w:start w:val="1"/>
      <w:numFmt w:val="bullet"/>
      <w:lvlText w:val=""/>
      <w:lvlJc w:val="left"/>
      <w:pPr>
        <w:ind w:left="2770"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6" w15:restartNumberingAfterBreak="0">
    <w:nsid w:val="1DB73598"/>
    <w:multiLevelType w:val="hybridMultilevel"/>
    <w:tmpl w:val="8070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F6515F"/>
    <w:multiLevelType w:val="multilevel"/>
    <w:tmpl w:val="94261FC0"/>
    <w:lvl w:ilvl="0">
      <w:start w:val="1"/>
      <w:numFmt w:val="decimal"/>
      <w:pStyle w:val="Article"/>
      <w:lvlText w:val="Article %1 - "/>
      <w:lvlJc w:val="left"/>
      <w:pPr>
        <w:tabs>
          <w:tab w:val="num" w:pos="0"/>
        </w:tabs>
        <w:ind w:left="1021" w:hanging="1021"/>
      </w:pPr>
      <w:rPr>
        <w:rFonts w:ascii="Times New Roman Bold" w:hAnsi="Times New Roman Bold" w:cs="Times New Roman" w:hint="default"/>
        <w:b/>
        <w:i w:val="0"/>
        <w:iCs w:val="0"/>
        <w:caps w:val="0"/>
        <w:strike w:val="0"/>
        <w:dstrike w:val="0"/>
        <w:outline w:val="0"/>
        <w:shadow w:val="0"/>
        <w:emboss w:val="0"/>
        <w:imprint w:val="0"/>
        <w:vanish w:val="0"/>
        <w:spacing w:val="0"/>
        <w:kern w:val="0"/>
        <w:position w:val="0"/>
        <w:sz w:val="24"/>
        <w:u w:val="none"/>
        <w:vertAlign w:val="baseline"/>
      </w:rPr>
    </w:lvl>
    <w:lvl w:ilvl="1">
      <w:start w:val="1"/>
      <w:numFmt w:val="decimal"/>
      <w:lvlText w:val="%1.%2."/>
      <w:lvlJc w:val="left"/>
      <w:pPr>
        <w:tabs>
          <w:tab w:val="num" w:pos="567"/>
        </w:tabs>
        <w:ind w:left="1134" w:hanging="567"/>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w w:val="100"/>
        <w:kern w:val="0"/>
        <w:position w:val="0"/>
        <w:sz w:val="22"/>
        <w:u w:val="none"/>
        <w:effect w:val="none"/>
        <w:vertAlign w:val="baseline"/>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F84213A"/>
    <w:multiLevelType w:val="hybridMultilevel"/>
    <w:tmpl w:val="B3D4394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4C77FEA"/>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8"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AB9567E"/>
    <w:multiLevelType w:val="hybridMultilevel"/>
    <w:tmpl w:val="1BFAA630"/>
    <w:lvl w:ilvl="0" w:tplc="B9126C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030BBB"/>
    <w:multiLevelType w:val="hybridMultilevel"/>
    <w:tmpl w:val="AB0EEC4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B09E7"/>
    <w:multiLevelType w:val="hybridMultilevel"/>
    <w:tmpl w:val="0B004B9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43B1136"/>
    <w:multiLevelType w:val="hybridMultilevel"/>
    <w:tmpl w:val="F66ADF3A"/>
    <w:lvl w:ilvl="0" w:tplc="A60CC148">
      <w:start w:val="5"/>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AA41D60"/>
    <w:multiLevelType w:val="hybridMultilevel"/>
    <w:tmpl w:val="52E47FD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15:restartNumberingAfterBreak="0">
    <w:nsid w:val="668C63B6"/>
    <w:multiLevelType w:val="hybridMultilevel"/>
    <w:tmpl w:val="F85A1C36"/>
    <w:lvl w:ilvl="0" w:tplc="2DC42FA2">
      <w:numFmt w:val="bullet"/>
      <w:lvlText w:val="-"/>
      <w:lvlJc w:val="left"/>
      <w:pPr>
        <w:ind w:left="1069" w:hanging="360"/>
      </w:pPr>
      <w:rPr>
        <w:rFonts w:ascii="Arial" w:eastAsia="Times New Roman" w:hAnsi="Aria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A75514F"/>
    <w:multiLevelType w:val="hybridMultilevel"/>
    <w:tmpl w:val="F6EA1DC2"/>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2" w15:restartNumberingAfterBreak="0">
    <w:nsid w:val="6B3652C5"/>
    <w:multiLevelType w:val="hybridMultilevel"/>
    <w:tmpl w:val="3726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15:restartNumberingAfterBreak="0">
    <w:nsid w:val="71C2601E"/>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3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B15C81"/>
    <w:multiLevelType w:val="hybridMultilevel"/>
    <w:tmpl w:val="66D2E7C2"/>
    <w:lvl w:ilvl="0" w:tplc="4ED46C96">
      <w:numFmt w:val="bullet"/>
      <w:lvlText w:val="-"/>
      <w:lvlJc w:val="left"/>
      <w:pPr>
        <w:ind w:left="1440" w:hanging="360"/>
      </w:pPr>
      <w:rPr>
        <w:rFonts w:ascii="Arial" w:eastAsia="Times New Roman" w:hAnsi="Arial" w:hint="default"/>
      </w:rPr>
    </w:lvl>
    <w:lvl w:ilvl="1" w:tplc="9906EA14">
      <w:start w:val="1"/>
      <w:numFmt w:val="bullet"/>
      <w:lvlText w:val="o"/>
      <w:lvlJc w:val="left"/>
      <w:pPr>
        <w:ind w:left="2160" w:hanging="360"/>
      </w:pPr>
      <w:rPr>
        <w:rFonts w:ascii="Courier New" w:hAnsi="Courier New" w:cs="Courier New" w:hint="default"/>
      </w:rPr>
    </w:lvl>
    <w:lvl w:ilvl="2" w:tplc="8CDC71EC">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6"/>
  </w:num>
  <w:num w:numId="2">
    <w:abstractNumId w:val="17"/>
  </w:num>
  <w:num w:numId="3">
    <w:abstractNumId w:val="18"/>
  </w:num>
  <w:num w:numId="4">
    <w:abstractNumId w:val="5"/>
  </w:num>
  <w:num w:numId="5">
    <w:abstractNumId w:val="30"/>
    <w:lvlOverride w:ilvl="0">
      <w:startOverride w:val="1"/>
    </w:lvlOverride>
  </w:num>
  <w:num w:numId="6">
    <w:abstractNumId w:val="13"/>
  </w:num>
  <w:num w:numId="7">
    <w:abstractNumId w:val="6"/>
  </w:num>
  <w:num w:numId="8">
    <w:abstractNumId w:val="34"/>
  </w:num>
  <w:num w:numId="9">
    <w:abstractNumId w:val="32"/>
  </w:num>
  <w:num w:numId="10">
    <w:abstractNumId w:val="16"/>
  </w:num>
  <w:num w:numId="11">
    <w:abstractNumId w:val="9"/>
  </w:num>
  <w:num w:numId="12">
    <w:abstractNumId w:val="15"/>
  </w:num>
  <w:num w:numId="13">
    <w:abstractNumId w:val="28"/>
  </w:num>
  <w:num w:numId="14">
    <w:abstractNumId w:val="33"/>
  </w:num>
  <w:num w:numId="15">
    <w:abstractNumId w:val="12"/>
  </w:num>
  <w:num w:numId="16">
    <w:abstractNumId w:val="27"/>
  </w:num>
  <w:num w:numId="17">
    <w:abstractNumId w:val="26"/>
  </w:num>
  <w:num w:numId="18">
    <w:abstractNumId w:val="19"/>
  </w:num>
  <w:num w:numId="19">
    <w:abstractNumId w:val="24"/>
  </w:num>
  <w:num w:numId="20">
    <w:abstractNumId w:val="7"/>
  </w:num>
  <w:num w:numId="21">
    <w:abstractNumId w:val="14"/>
  </w:num>
  <w:num w:numId="22">
    <w:abstractNumId w:val="4"/>
  </w:num>
  <w:num w:numId="23">
    <w:abstractNumId w:val="10"/>
  </w:num>
  <w:num w:numId="24">
    <w:abstractNumId w:val="35"/>
  </w:num>
  <w:num w:numId="25">
    <w:abstractNumId w:val="8"/>
  </w:num>
  <w:num w:numId="26">
    <w:abstractNumId w:val="0"/>
  </w:num>
  <w:num w:numId="27">
    <w:abstractNumId w:val="37"/>
  </w:num>
  <w:num w:numId="28">
    <w:abstractNumId w:val="2"/>
  </w:num>
  <w:num w:numId="29">
    <w:abstractNumId w:val="23"/>
  </w:num>
  <w:num w:numId="30">
    <w:abstractNumId w:val="1"/>
  </w:num>
  <w:num w:numId="31">
    <w:abstractNumId w:val="25"/>
  </w:num>
  <w:num w:numId="32">
    <w:abstractNumId w:val="22"/>
  </w:num>
  <w:num w:numId="33">
    <w:abstractNumId w:val="20"/>
  </w:num>
  <w:num w:numId="34">
    <w:abstractNumId w:val="29"/>
  </w:num>
  <w:num w:numId="35">
    <w:abstractNumId w:val="11"/>
  </w:num>
  <w:num w:numId="36">
    <w:abstractNumId w:val="31"/>
  </w:num>
  <w:num w:numId="37">
    <w:abstractNumId w:val="21"/>
  </w:num>
  <w:num w:numId="3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en-IE" w:vendorID="64" w:dllVersion="6" w:nlCheck="1" w:checkStyle="1"/>
  <w:activeWritingStyle w:appName="MSWord" w:lang="fr-FR"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21EC"/>
    <w:rsid w:val="00004B49"/>
    <w:rsid w:val="00006DF8"/>
    <w:rsid w:val="0001341A"/>
    <w:rsid w:val="0001376A"/>
    <w:rsid w:val="00020A5B"/>
    <w:rsid w:val="00021EB3"/>
    <w:rsid w:val="000274FE"/>
    <w:rsid w:val="00027951"/>
    <w:rsid w:val="00030A2D"/>
    <w:rsid w:val="00031E63"/>
    <w:rsid w:val="0003690E"/>
    <w:rsid w:val="000435A0"/>
    <w:rsid w:val="00044AF2"/>
    <w:rsid w:val="0005004B"/>
    <w:rsid w:val="00052A25"/>
    <w:rsid w:val="00052A9F"/>
    <w:rsid w:val="000534BE"/>
    <w:rsid w:val="00055A26"/>
    <w:rsid w:val="00057B00"/>
    <w:rsid w:val="00060C1E"/>
    <w:rsid w:val="00065189"/>
    <w:rsid w:val="0007388F"/>
    <w:rsid w:val="000813E1"/>
    <w:rsid w:val="00084217"/>
    <w:rsid w:val="00085A55"/>
    <w:rsid w:val="00091417"/>
    <w:rsid w:val="00092A6F"/>
    <w:rsid w:val="000A6A0E"/>
    <w:rsid w:val="000A73D4"/>
    <w:rsid w:val="000A744B"/>
    <w:rsid w:val="000B16FC"/>
    <w:rsid w:val="000B190D"/>
    <w:rsid w:val="000C01E5"/>
    <w:rsid w:val="000C0A36"/>
    <w:rsid w:val="000C0C20"/>
    <w:rsid w:val="000C26EA"/>
    <w:rsid w:val="000C549B"/>
    <w:rsid w:val="000C5619"/>
    <w:rsid w:val="000C6752"/>
    <w:rsid w:val="000C7952"/>
    <w:rsid w:val="000D13E7"/>
    <w:rsid w:val="000D2A8C"/>
    <w:rsid w:val="000D6181"/>
    <w:rsid w:val="000D7C74"/>
    <w:rsid w:val="000E0648"/>
    <w:rsid w:val="000E537A"/>
    <w:rsid w:val="000F2B1E"/>
    <w:rsid w:val="000F39C3"/>
    <w:rsid w:val="00101855"/>
    <w:rsid w:val="001039C5"/>
    <w:rsid w:val="001050EE"/>
    <w:rsid w:val="00107540"/>
    <w:rsid w:val="00111B7A"/>
    <w:rsid w:val="00114F35"/>
    <w:rsid w:val="00116CA6"/>
    <w:rsid w:val="0011710F"/>
    <w:rsid w:val="001204DA"/>
    <w:rsid w:val="0012355E"/>
    <w:rsid w:val="001257A7"/>
    <w:rsid w:val="001371B3"/>
    <w:rsid w:val="001466DD"/>
    <w:rsid w:val="001557A3"/>
    <w:rsid w:val="0016526B"/>
    <w:rsid w:val="00165A9F"/>
    <w:rsid w:val="00166BD4"/>
    <w:rsid w:val="0017313B"/>
    <w:rsid w:val="00173310"/>
    <w:rsid w:val="00175DF3"/>
    <w:rsid w:val="00185842"/>
    <w:rsid w:val="00192C51"/>
    <w:rsid w:val="001944E5"/>
    <w:rsid w:val="00196F72"/>
    <w:rsid w:val="001978EF"/>
    <w:rsid w:val="001A4E4A"/>
    <w:rsid w:val="001A72CD"/>
    <w:rsid w:val="001B2DD7"/>
    <w:rsid w:val="001B31E6"/>
    <w:rsid w:val="001B5FC4"/>
    <w:rsid w:val="001C1D2A"/>
    <w:rsid w:val="001C2095"/>
    <w:rsid w:val="001C36AC"/>
    <w:rsid w:val="001C7817"/>
    <w:rsid w:val="001E0345"/>
    <w:rsid w:val="001E2555"/>
    <w:rsid w:val="001E440F"/>
    <w:rsid w:val="001E677A"/>
    <w:rsid w:val="001F48E9"/>
    <w:rsid w:val="001F61FC"/>
    <w:rsid w:val="0020115F"/>
    <w:rsid w:val="00203C42"/>
    <w:rsid w:val="00203E27"/>
    <w:rsid w:val="00205125"/>
    <w:rsid w:val="00205F35"/>
    <w:rsid w:val="002079A9"/>
    <w:rsid w:val="00212360"/>
    <w:rsid w:val="002128B0"/>
    <w:rsid w:val="00212E05"/>
    <w:rsid w:val="0021368F"/>
    <w:rsid w:val="00215793"/>
    <w:rsid w:val="00216A9C"/>
    <w:rsid w:val="002172D1"/>
    <w:rsid w:val="002223C1"/>
    <w:rsid w:val="0023359D"/>
    <w:rsid w:val="00233F90"/>
    <w:rsid w:val="00236039"/>
    <w:rsid w:val="00236C45"/>
    <w:rsid w:val="0024466C"/>
    <w:rsid w:val="002475C4"/>
    <w:rsid w:val="00247FEF"/>
    <w:rsid w:val="00252888"/>
    <w:rsid w:val="00253B57"/>
    <w:rsid w:val="00253E09"/>
    <w:rsid w:val="00256EE1"/>
    <w:rsid w:val="00266C41"/>
    <w:rsid w:val="00270B92"/>
    <w:rsid w:val="002768B9"/>
    <w:rsid w:val="00276EB7"/>
    <w:rsid w:val="0027754F"/>
    <w:rsid w:val="0028152C"/>
    <w:rsid w:val="00286A23"/>
    <w:rsid w:val="00295092"/>
    <w:rsid w:val="00297666"/>
    <w:rsid w:val="002B13F4"/>
    <w:rsid w:val="002B7A05"/>
    <w:rsid w:val="002C4845"/>
    <w:rsid w:val="002C5E6C"/>
    <w:rsid w:val="002D0A12"/>
    <w:rsid w:val="002D0B03"/>
    <w:rsid w:val="002D294D"/>
    <w:rsid w:val="002D2BD5"/>
    <w:rsid w:val="002D7495"/>
    <w:rsid w:val="002D75A2"/>
    <w:rsid w:val="002E58FA"/>
    <w:rsid w:val="002F6D2E"/>
    <w:rsid w:val="00301DE9"/>
    <w:rsid w:val="00305FF9"/>
    <w:rsid w:val="003072B8"/>
    <w:rsid w:val="003111D9"/>
    <w:rsid w:val="00311D2D"/>
    <w:rsid w:val="0031275D"/>
    <w:rsid w:val="003308BB"/>
    <w:rsid w:val="0033332D"/>
    <w:rsid w:val="00340C6C"/>
    <w:rsid w:val="00346E32"/>
    <w:rsid w:val="00346FAF"/>
    <w:rsid w:val="003521FE"/>
    <w:rsid w:val="00354B1F"/>
    <w:rsid w:val="00356B1D"/>
    <w:rsid w:val="00361B54"/>
    <w:rsid w:val="00362638"/>
    <w:rsid w:val="00363B97"/>
    <w:rsid w:val="0036530E"/>
    <w:rsid w:val="0036592E"/>
    <w:rsid w:val="003721D9"/>
    <w:rsid w:val="00381F67"/>
    <w:rsid w:val="00382FE0"/>
    <w:rsid w:val="00384ED2"/>
    <w:rsid w:val="00390FCE"/>
    <w:rsid w:val="00392541"/>
    <w:rsid w:val="00393408"/>
    <w:rsid w:val="00394BBB"/>
    <w:rsid w:val="0039780F"/>
    <w:rsid w:val="003A2536"/>
    <w:rsid w:val="003A272E"/>
    <w:rsid w:val="003A358D"/>
    <w:rsid w:val="003A77FA"/>
    <w:rsid w:val="003B164A"/>
    <w:rsid w:val="003C07AB"/>
    <w:rsid w:val="003C0C4C"/>
    <w:rsid w:val="003C1679"/>
    <w:rsid w:val="003C2000"/>
    <w:rsid w:val="003C60D0"/>
    <w:rsid w:val="003C7183"/>
    <w:rsid w:val="003D2B40"/>
    <w:rsid w:val="003D3100"/>
    <w:rsid w:val="003D338A"/>
    <w:rsid w:val="003D34F4"/>
    <w:rsid w:val="003D40B2"/>
    <w:rsid w:val="003D436F"/>
    <w:rsid w:val="003D6BD4"/>
    <w:rsid w:val="003D764D"/>
    <w:rsid w:val="003D795D"/>
    <w:rsid w:val="003E596D"/>
    <w:rsid w:val="003F005A"/>
    <w:rsid w:val="003F6D11"/>
    <w:rsid w:val="00401C44"/>
    <w:rsid w:val="00403C36"/>
    <w:rsid w:val="00406967"/>
    <w:rsid w:val="00407129"/>
    <w:rsid w:val="00407C73"/>
    <w:rsid w:val="004112D4"/>
    <w:rsid w:val="00414B1C"/>
    <w:rsid w:val="004153D6"/>
    <w:rsid w:val="00415BC9"/>
    <w:rsid w:val="0042065C"/>
    <w:rsid w:val="0042293E"/>
    <w:rsid w:val="004305FD"/>
    <w:rsid w:val="004321C9"/>
    <w:rsid w:val="00433C36"/>
    <w:rsid w:val="004350B6"/>
    <w:rsid w:val="00437AE6"/>
    <w:rsid w:val="00441407"/>
    <w:rsid w:val="00443948"/>
    <w:rsid w:val="00444CC8"/>
    <w:rsid w:val="004451EA"/>
    <w:rsid w:val="0044598E"/>
    <w:rsid w:val="0044751C"/>
    <w:rsid w:val="004514CD"/>
    <w:rsid w:val="00453832"/>
    <w:rsid w:val="004543B0"/>
    <w:rsid w:val="00456951"/>
    <w:rsid w:val="00462214"/>
    <w:rsid w:val="00465174"/>
    <w:rsid w:val="004670EF"/>
    <w:rsid w:val="004710A3"/>
    <w:rsid w:val="004715EC"/>
    <w:rsid w:val="004750B6"/>
    <w:rsid w:val="004805F2"/>
    <w:rsid w:val="00480E3B"/>
    <w:rsid w:val="004833E7"/>
    <w:rsid w:val="004842DD"/>
    <w:rsid w:val="00485048"/>
    <w:rsid w:val="0048680A"/>
    <w:rsid w:val="00490A43"/>
    <w:rsid w:val="0049139F"/>
    <w:rsid w:val="00491A13"/>
    <w:rsid w:val="00494A0D"/>
    <w:rsid w:val="004A666F"/>
    <w:rsid w:val="004A686C"/>
    <w:rsid w:val="004B33AB"/>
    <w:rsid w:val="004B4D74"/>
    <w:rsid w:val="004C0B83"/>
    <w:rsid w:val="004C1536"/>
    <w:rsid w:val="004C192E"/>
    <w:rsid w:val="004D61E0"/>
    <w:rsid w:val="004D6FB2"/>
    <w:rsid w:val="004D761A"/>
    <w:rsid w:val="004E1434"/>
    <w:rsid w:val="004E52DB"/>
    <w:rsid w:val="004F3026"/>
    <w:rsid w:val="004F3786"/>
    <w:rsid w:val="004F4DA5"/>
    <w:rsid w:val="004F5CBC"/>
    <w:rsid w:val="004F7629"/>
    <w:rsid w:val="00501651"/>
    <w:rsid w:val="0051365E"/>
    <w:rsid w:val="0051796E"/>
    <w:rsid w:val="005271DB"/>
    <w:rsid w:val="00527F31"/>
    <w:rsid w:val="00531D81"/>
    <w:rsid w:val="00533A18"/>
    <w:rsid w:val="005346CE"/>
    <w:rsid w:val="005411B0"/>
    <w:rsid w:val="00541666"/>
    <w:rsid w:val="0054331D"/>
    <w:rsid w:val="00543710"/>
    <w:rsid w:val="00544044"/>
    <w:rsid w:val="005445DB"/>
    <w:rsid w:val="00546410"/>
    <w:rsid w:val="005478E4"/>
    <w:rsid w:val="005522DF"/>
    <w:rsid w:val="005532B6"/>
    <w:rsid w:val="00553F9E"/>
    <w:rsid w:val="005570BC"/>
    <w:rsid w:val="005625FF"/>
    <w:rsid w:val="005637E1"/>
    <w:rsid w:val="00567851"/>
    <w:rsid w:val="005678C2"/>
    <w:rsid w:val="0057272D"/>
    <w:rsid w:val="0057733F"/>
    <w:rsid w:val="0057760F"/>
    <w:rsid w:val="005803EF"/>
    <w:rsid w:val="00580CED"/>
    <w:rsid w:val="0058254C"/>
    <w:rsid w:val="00582940"/>
    <w:rsid w:val="0058307D"/>
    <w:rsid w:val="00583671"/>
    <w:rsid w:val="005855DE"/>
    <w:rsid w:val="00586A41"/>
    <w:rsid w:val="00587FF6"/>
    <w:rsid w:val="00591722"/>
    <w:rsid w:val="00593EB5"/>
    <w:rsid w:val="0059510B"/>
    <w:rsid w:val="00596E41"/>
    <w:rsid w:val="005A2150"/>
    <w:rsid w:val="005A3B22"/>
    <w:rsid w:val="005A4419"/>
    <w:rsid w:val="005B0B44"/>
    <w:rsid w:val="005B47DF"/>
    <w:rsid w:val="005B4F79"/>
    <w:rsid w:val="005B5F79"/>
    <w:rsid w:val="005C0F07"/>
    <w:rsid w:val="005C1AC4"/>
    <w:rsid w:val="005C4433"/>
    <w:rsid w:val="005C742C"/>
    <w:rsid w:val="005D2C86"/>
    <w:rsid w:val="005D362F"/>
    <w:rsid w:val="005D4099"/>
    <w:rsid w:val="005D499E"/>
    <w:rsid w:val="005D5879"/>
    <w:rsid w:val="005E2012"/>
    <w:rsid w:val="005E22D4"/>
    <w:rsid w:val="005E2D66"/>
    <w:rsid w:val="005E355B"/>
    <w:rsid w:val="006015D0"/>
    <w:rsid w:val="00601A8C"/>
    <w:rsid w:val="006077EF"/>
    <w:rsid w:val="00612248"/>
    <w:rsid w:val="0061529F"/>
    <w:rsid w:val="00615BB7"/>
    <w:rsid w:val="00617532"/>
    <w:rsid w:val="006218C2"/>
    <w:rsid w:val="00622351"/>
    <w:rsid w:val="00622857"/>
    <w:rsid w:val="00624333"/>
    <w:rsid w:val="006250B5"/>
    <w:rsid w:val="0063160E"/>
    <w:rsid w:val="006316A2"/>
    <w:rsid w:val="0063320F"/>
    <w:rsid w:val="00635178"/>
    <w:rsid w:val="0063651E"/>
    <w:rsid w:val="00641155"/>
    <w:rsid w:val="006517AB"/>
    <w:rsid w:val="006517D2"/>
    <w:rsid w:val="006610EB"/>
    <w:rsid w:val="00664730"/>
    <w:rsid w:val="00664973"/>
    <w:rsid w:val="0066536C"/>
    <w:rsid w:val="00665AD5"/>
    <w:rsid w:val="00670009"/>
    <w:rsid w:val="00673D8C"/>
    <w:rsid w:val="00674750"/>
    <w:rsid w:val="0067499A"/>
    <w:rsid w:val="00675D7D"/>
    <w:rsid w:val="0068098D"/>
    <w:rsid w:val="0068234B"/>
    <w:rsid w:val="0068637E"/>
    <w:rsid w:val="006872CB"/>
    <w:rsid w:val="006900F6"/>
    <w:rsid w:val="00690585"/>
    <w:rsid w:val="00690A0E"/>
    <w:rsid w:val="006934C9"/>
    <w:rsid w:val="006937A4"/>
    <w:rsid w:val="006A4779"/>
    <w:rsid w:val="006A5771"/>
    <w:rsid w:val="006A75D6"/>
    <w:rsid w:val="006B1B4E"/>
    <w:rsid w:val="006B60CC"/>
    <w:rsid w:val="006B7EE9"/>
    <w:rsid w:val="006C36A7"/>
    <w:rsid w:val="006C4752"/>
    <w:rsid w:val="006D15C4"/>
    <w:rsid w:val="006D36DD"/>
    <w:rsid w:val="006D7273"/>
    <w:rsid w:val="006D7D6D"/>
    <w:rsid w:val="006E5990"/>
    <w:rsid w:val="006E6032"/>
    <w:rsid w:val="006F17D2"/>
    <w:rsid w:val="006F1994"/>
    <w:rsid w:val="006F1A1B"/>
    <w:rsid w:val="006F60DB"/>
    <w:rsid w:val="006F79B1"/>
    <w:rsid w:val="00707EB9"/>
    <w:rsid w:val="00711F0C"/>
    <w:rsid w:val="007172B0"/>
    <w:rsid w:val="00724ADC"/>
    <w:rsid w:val="00725F2A"/>
    <w:rsid w:val="00726303"/>
    <w:rsid w:val="00726BCF"/>
    <w:rsid w:val="007300FC"/>
    <w:rsid w:val="00732624"/>
    <w:rsid w:val="00736F79"/>
    <w:rsid w:val="00740350"/>
    <w:rsid w:val="00741C18"/>
    <w:rsid w:val="00742A44"/>
    <w:rsid w:val="00745CC9"/>
    <w:rsid w:val="0074647C"/>
    <w:rsid w:val="007466E1"/>
    <w:rsid w:val="00746BFC"/>
    <w:rsid w:val="00750718"/>
    <w:rsid w:val="00751CDF"/>
    <w:rsid w:val="00754C31"/>
    <w:rsid w:val="00761068"/>
    <w:rsid w:val="0077002C"/>
    <w:rsid w:val="007731CA"/>
    <w:rsid w:val="007757EA"/>
    <w:rsid w:val="00780E05"/>
    <w:rsid w:val="00781A85"/>
    <w:rsid w:val="007835D1"/>
    <w:rsid w:val="00785513"/>
    <w:rsid w:val="00790496"/>
    <w:rsid w:val="00795633"/>
    <w:rsid w:val="007963FC"/>
    <w:rsid w:val="007A04CD"/>
    <w:rsid w:val="007A1685"/>
    <w:rsid w:val="007A16ED"/>
    <w:rsid w:val="007A2F65"/>
    <w:rsid w:val="007A3985"/>
    <w:rsid w:val="007A418C"/>
    <w:rsid w:val="007A5020"/>
    <w:rsid w:val="007B00C5"/>
    <w:rsid w:val="007C10C1"/>
    <w:rsid w:val="007C1642"/>
    <w:rsid w:val="007C1976"/>
    <w:rsid w:val="007C7D16"/>
    <w:rsid w:val="007D22CA"/>
    <w:rsid w:val="007D5114"/>
    <w:rsid w:val="007D6CD0"/>
    <w:rsid w:val="007D732B"/>
    <w:rsid w:val="007E2713"/>
    <w:rsid w:val="007E33CF"/>
    <w:rsid w:val="007E34D8"/>
    <w:rsid w:val="007E7F01"/>
    <w:rsid w:val="007F037F"/>
    <w:rsid w:val="007F1907"/>
    <w:rsid w:val="00801551"/>
    <w:rsid w:val="008020E7"/>
    <w:rsid w:val="0080253E"/>
    <w:rsid w:val="008029EA"/>
    <w:rsid w:val="00806AB3"/>
    <w:rsid w:val="00807B1A"/>
    <w:rsid w:val="0081151F"/>
    <w:rsid w:val="00811C13"/>
    <w:rsid w:val="00817365"/>
    <w:rsid w:val="00821569"/>
    <w:rsid w:val="00821D8F"/>
    <w:rsid w:val="00822BE8"/>
    <w:rsid w:val="0082336C"/>
    <w:rsid w:val="00825FF4"/>
    <w:rsid w:val="008275AB"/>
    <w:rsid w:val="00830A6F"/>
    <w:rsid w:val="008338B0"/>
    <w:rsid w:val="0085144A"/>
    <w:rsid w:val="00851D16"/>
    <w:rsid w:val="0085750B"/>
    <w:rsid w:val="00857577"/>
    <w:rsid w:val="0085796F"/>
    <w:rsid w:val="00865463"/>
    <w:rsid w:val="0086650A"/>
    <w:rsid w:val="00866754"/>
    <w:rsid w:val="0086700B"/>
    <w:rsid w:val="0087152F"/>
    <w:rsid w:val="008733EA"/>
    <w:rsid w:val="0088035B"/>
    <w:rsid w:val="00880541"/>
    <w:rsid w:val="008824C1"/>
    <w:rsid w:val="0089009D"/>
    <w:rsid w:val="008A22F6"/>
    <w:rsid w:val="008A24D8"/>
    <w:rsid w:val="008A27FD"/>
    <w:rsid w:val="008A3D88"/>
    <w:rsid w:val="008A3E96"/>
    <w:rsid w:val="008A6D81"/>
    <w:rsid w:val="008B0961"/>
    <w:rsid w:val="008B16B6"/>
    <w:rsid w:val="008B2A73"/>
    <w:rsid w:val="008B3EEE"/>
    <w:rsid w:val="008B427D"/>
    <w:rsid w:val="008B623E"/>
    <w:rsid w:val="008B7FF3"/>
    <w:rsid w:val="008B7FF5"/>
    <w:rsid w:val="008C3721"/>
    <w:rsid w:val="008E128B"/>
    <w:rsid w:val="008E4B88"/>
    <w:rsid w:val="008E71FD"/>
    <w:rsid w:val="008E7B76"/>
    <w:rsid w:val="008F0486"/>
    <w:rsid w:val="008F168A"/>
    <w:rsid w:val="008F251C"/>
    <w:rsid w:val="008F4E9F"/>
    <w:rsid w:val="008F5DE9"/>
    <w:rsid w:val="00900FEB"/>
    <w:rsid w:val="00902E86"/>
    <w:rsid w:val="00903900"/>
    <w:rsid w:val="00906BBC"/>
    <w:rsid w:val="00910313"/>
    <w:rsid w:val="00911810"/>
    <w:rsid w:val="009147A6"/>
    <w:rsid w:val="00915404"/>
    <w:rsid w:val="009154A6"/>
    <w:rsid w:val="009159C2"/>
    <w:rsid w:val="00915BDF"/>
    <w:rsid w:val="009170D9"/>
    <w:rsid w:val="0092466D"/>
    <w:rsid w:val="009249CD"/>
    <w:rsid w:val="00931C68"/>
    <w:rsid w:val="009455FD"/>
    <w:rsid w:val="009463ED"/>
    <w:rsid w:val="0094728C"/>
    <w:rsid w:val="0095577B"/>
    <w:rsid w:val="00956905"/>
    <w:rsid w:val="009639E9"/>
    <w:rsid w:val="00966028"/>
    <w:rsid w:val="009706F3"/>
    <w:rsid w:val="00974535"/>
    <w:rsid w:val="00982CD8"/>
    <w:rsid w:val="00983704"/>
    <w:rsid w:val="00986734"/>
    <w:rsid w:val="00990012"/>
    <w:rsid w:val="009974FB"/>
    <w:rsid w:val="009A022B"/>
    <w:rsid w:val="009A4E95"/>
    <w:rsid w:val="009B2C5D"/>
    <w:rsid w:val="009B2EFD"/>
    <w:rsid w:val="009B571E"/>
    <w:rsid w:val="009C012B"/>
    <w:rsid w:val="009C2BF2"/>
    <w:rsid w:val="009C3AAE"/>
    <w:rsid w:val="009C4DE9"/>
    <w:rsid w:val="009D0B7D"/>
    <w:rsid w:val="009D3DDD"/>
    <w:rsid w:val="009D4610"/>
    <w:rsid w:val="009D684F"/>
    <w:rsid w:val="009E1E02"/>
    <w:rsid w:val="009E24C9"/>
    <w:rsid w:val="009E37D9"/>
    <w:rsid w:val="009E3D4D"/>
    <w:rsid w:val="009E4A1E"/>
    <w:rsid w:val="009E4FA4"/>
    <w:rsid w:val="009F56B6"/>
    <w:rsid w:val="009F648D"/>
    <w:rsid w:val="00A03751"/>
    <w:rsid w:val="00A057C7"/>
    <w:rsid w:val="00A0682C"/>
    <w:rsid w:val="00A10BB1"/>
    <w:rsid w:val="00A11047"/>
    <w:rsid w:val="00A113E2"/>
    <w:rsid w:val="00A12DBD"/>
    <w:rsid w:val="00A149EB"/>
    <w:rsid w:val="00A16985"/>
    <w:rsid w:val="00A2031F"/>
    <w:rsid w:val="00A20E4D"/>
    <w:rsid w:val="00A4124B"/>
    <w:rsid w:val="00A42A7F"/>
    <w:rsid w:val="00A44FD5"/>
    <w:rsid w:val="00A5429D"/>
    <w:rsid w:val="00A5627F"/>
    <w:rsid w:val="00A65D5B"/>
    <w:rsid w:val="00A6752B"/>
    <w:rsid w:val="00A7259B"/>
    <w:rsid w:val="00A75E7E"/>
    <w:rsid w:val="00A76A96"/>
    <w:rsid w:val="00A77ECC"/>
    <w:rsid w:val="00A81065"/>
    <w:rsid w:val="00A8166C"/>
    <w:rsid w:val="00A868BB"/>
    <w:rsid w:val="00A96863"/>
    <w:rsid w:val="00A96A4F"/>
    <w:rsid w:val="00AA1F74"/>
    <w:rsid w:val="00AA28A1"/>
    <w:rsid w:val="00AA515C"/>
    <w:rsid w:val="00AA6F0B"/>
    <w:rsid w:val="00AB2626"/>
    <w:rsid w:val="00AC4C2F"/>
    <w:rsid w:val="00AC5E4B"/>
    <w:rsid w:val="00AC5EC2"/>
    <w:rsid w:val="00AD073D"/>
    <w:rsid w:val="00AD2105"/>
    <w:rsid w:val="00AE1D5F"/>
    <w:rsid w:val="00AE38F8"/>
    <w:rsid w:val="00AE4BF8"/>
    <w:rsid w:val="00AF0195"/>
    <w:rsid w:val="00AF1588"/>
    <w:rsid w:val="00AF50BE"/>
    <w:rsid w:val="00AF7480"/>
    <w:rsid w:val="00B00AAE"/>
    <w:rsid w:val="00B00C94"/>
    <w:rsid w:val="00B078C7"/>
    <w:rsid w:val="00B10A2A"/>
    <w:rsid w:val="00B11FAE"/>
    <w:rsid w:val="00B150F8"/>
    <w:rsid w:val="00B15B92"/>
    <w:rsid w:val="00B22804"/>
    <w:rsid w:val="00B22F97"/>
    <w:rsid w:val="00B25087"/>
    <w:rsid w:val="00B3283E"/>
    <w:rsid w:val="00B460D5"/>
    <w:rsid w:val="00B47A2A"/>
    <w:rsid w:val="00B52E82"/>
    <w:rsid w:val="00B539F4"/>
    <w:rsid w:val="00B6151C"/>
    <w:rsid w:val="00B62B16"/>
    <w:rsid w:val="00B67B6F"/>
    <w:rsid w:val="00B67B8E"/>
    <w:rsid w:val="00B70645"/>
    <w:rsid w:val="00B718F4"/>
    <w:rsid w:val="00B72739"/>
    <w:rsid w:val="00B7287D"/>
    <w:rsid w:val="00B739C9"/>
    <w:rsid w:val="00B7615B"/>
    <w:rsid w:val="00B8053F"/>
    <w:rsid w:val="00B849B8"/>
    <w:rsid w:val="00B85DA8"/>
    <w:rsid w:val="00B92E4B"/>
    <w:rsid w:val="00B93A84"/>
    <w:rsid w:val="00B97782"/>
    <w:rsid w:val="00BA75CB"/>
    <w:rsid w:val="00BB1837"/>
    <w:rsid w:val="00BB1BBF"/>
    <w:rsid w:val="00BB31D8"/>
    <w:rsid w:val="00BB4303"/>
    <w:rsid w:val="00BB6C02"/>
    <w:rsid w:val="00BB7241"/>
    <w:rsid w:val="00BC2840"/>
    <w:rsid w:val="00BC7418"/>
    <w:rsid w:val="00BC7DAF"/>
    <w:rsid w:val="00BD2F7D"/>
    <w:rsid w:val="00BD3FCB"/>
    <w:rsid w:val="00BD50F8"/>
    <w:rsid w:val="00BD575B"/>
    <w:rsid w:val="00BD7E6E"/>
    <w:rsid w:val="00BE16C2"/>
    <w:rsid w:val="00BE1859"/>
    <w:rsid w:val="00BE7A65"/>
    <w:rsid w:val="00BF0782"/>
    <w:rsid w:val="00BF1706"/>
    <w:rsid w:val="00BF2DEB"/>
    <w:rsid w:val="00BF4853"/>
    <w:rsid w:val="00BF55FB"/>
    <w:rsid w:val="00BF6CE4"/>
    <w:rsid w:val="00BF78C9"/>
    <w:rsid w:val="00C030CD"/>
    <w:rsid w:val="00C03D9E"/>
    <w:rsid w:val="00C05B9A"/>
    <w:rsid w:val="00C17B19"/>
    <w:rsid w:val="00C20225"/>
    <w:rsid w:val="00C202A0"/>
    <w:rsid w:val="00C20DBA"/>
    <w:rsid w:val="00C246F4"/>
    <w:rsid w:val="00C261B3"/>
    <w:rsid w:val="00C31291"/>
    <w:rsid w:val="00C3331B"/>
    <w:rsid w:val="00C363EE"/>
    <w:rsid w:val="00C367A9"/>
    <w:rsid w:val="00C42020"/>
    <w:rsid w:val="00C4392E"/>
    <w:rsid w:val="00C4498B"/>
    <w:rsid w:val="00C44D28"/>
    <w:rsid w:val="00C50657"/>
    <w:rsid w:val="00C50808"/>
    <w:rsid w:val="00C55CFE"/>
    <w:rsid w:val="00C61D5D"/>
    <w:rsid w:val="00C62D6B"/>
    <w:rsid w:val="00C664A9"/>
    <w:rsid w:val="00C678BA"/>
    <w:rsid w:val="00C71A4B"/>
    <w:rsid w:val="00C71C98"/>
    <w:rsid w:val="00C73DF5"/>
    <w:rsid w:val="00C74716"/>
    <w:rsid w:val="00C76D89"/>
    <w:rsid w:val="00C8024C"/>
    <w:rsid w:val="00C83ABE"/>
    <w:rsid w:val="00C85327"/>
    <w:rsid w:val="00C85DAE"/>
    <w:rsid w:val="00C874CE"/>
    <w:rsid w:val="00C91D72"/>
    <w:rsid w:val="00C9403E"/>
    <w:rsid w:val="00C943B6"/>
    <w:rsid w:val="00C96DE9"/>
    <w:rsid w:val="00C97314"/>
    <w:rsid w:val="00C97E2D"/>
    <w:rsid w:val="00CA2FCC"/>
    <w:rsid w:val="00CA3ABA"/>
    <w:rsid w:val="00CA55AA"/>
    <w:rsid w:val="00CA6399"/>
    <w:rsid w:val="00CB0002"/>
    <w:rsid w:val="00CB145C"/>
    <w:rsid w:val="00CB54F7"/>
    <w:rsid w:val="00CB5AEA"/>
    <w:rsid w:val="00CC24E6"/>
    <w:rsid w:val="00CC2D33"/>
    <w:rsid w:val="00CC74DB"/>
    <w:rsid w:val="00CD0A21"/>
    <w:rsid w:val="00CD2624"/>
    <w:rsid w:val="00CD6A68"/>
    <w:rsid w:val="00CE4A2D"/>
    <w:rsid w:val="00CF24DE"/>
    <w:rsid w:val="00CF3F1F"/>
    <w:rsid w:val="00CF7557"/>
    <w:rsid w:val="00D03AA6"/>
    <w:rsid w:val="00D04DC8"/>
    <w:rsid w:val="00D1275E"/>
    <w:rsid w:val="00D12BF3"/>
    <w:rsid w:val="00D21F01"/>
    <w:rsid w:val="00D274C9"/>
    <w:rsid w:val="00D3197A"/>
    <w:rsid w:val="00D31A1E"/>
    <w:rsid w:val="00D33329"/>
    <w:rsid w:val="00D33A80"/>
    <w:rsid w:val="00D3401B"/>
    <w:rsid w:val="00D345EC"/>
    <w:rsid w:val="00D435BD"/>
    <w:rsid w:val="00D45870"/>
    <w:rsid w:val="00D509CC"/>
    <w:rsid w:val="00D54185"/>
    <w:rsid w:val="00D56505"/>
    <w:rsid w:val="00D57736"/>
    <w:rsid w:val="00D60BA1"/>
    <w:rsid w:val="00D61604"/>
    <w:rsid w:val="00D63EA6"/>
    <w:rsid w:val="00D64598"/>
    <w:rsid w:val="00D645BF"/>
    <w:rsid w:val="00D6746E"/>
    <w:rsid w:val="00D833E0"/>
    <w:rsid w:val="00D907F8"/>
    <w:rsid w:val="00D91B68"/>
    <w:rsid w:val="00D9227E"/>
    <w:rsid w:val="00D92A0D"/>
    <w:rsid w:val="00D943D4"/>
    <w:rsid w:val="00DA2348"/>
    <w:rsid w:val="00DA616A"/>
    <w:rsid w:val="00DB2F80"/>
    <w:rsid w:val="00DB51CA"/>
    <w:rsid w:val="00DB55A7"/>
    <w:rsid w:val="00DB5C38"/>
    <w:rsid w:val="00DB5C71"/>
    <w:rsid w:val="00DB787F"/>
    <w:rsid w:val="00DB7E68"/>
    <w:rsid w:val="00DC1AF8"/>
    <w:rsid w:val="00DC3D45"/>
    <w:rsid w:val="00DC3EAE"/>
    <w:rsid w:val="00DC647C"/>
    <w:rsid w:val="00DD0434"/>
    <w:rsid w:val="00DD0B82"/>
    <w:rsid w:val="00DD6FE0"/>
    <w:rsid w:val="00DE0B72"/>
    <w:rsid w:val="00DE47CB"/>
    <w:rsid w:val="00DF1E73"/>
    <w:rsid w:val="00DF3894"/>
    <w:rsid w:val="00DF3B53"/>
    <w:rsid w:val="00DF4416"/>
    <w:rsid w:val="00DF54C7"/>
    <w:rsid w:val="00DF5742"/>
    <w:rsid w:val="00DF759A"/>
    <w:rsid w:val="00E01657"/>
    <w:rsid w:val="00E01782"/>
    <w:rsid w:val="00E06F05"/>
    <w:rsid w:val="00E11172"/>
    <w:rsid w:val="00E12E18"/>
    <w:rsid w:val="00E142EC"/>
    <w:rsid w:val="00E14F9B"/>
    <w:rsid w:val="00E21475"/>
    <w:rsid w:val="00E246FA"/>
    <w:rsid w:val="00E24C7B"/>
    <w:rsid w:val="00E34CF3"/>
    <w:rsid w:val="00E40327"/>
    <w:rsid w:val="00E5391D"/>
    <w:rsid w:val="00E57137"/>
    <w:rsid w:val="00E61684"/>
    <w:rsid w:val="00E65F45"/>
    <w:rsid w:val="00E672FA"/>
    <w:rsid w:val="00E67489"/>
    <w:rsid w:val="00E725FE"/>
    <w:rsid w:val="00E72F15"/>
    <w:rsid w:val="00E75A03"/>
    <w:rsid w:val="00E80441"/>
    <w:rsid w:val="00E83124"/>
    <w:rsid w:val="00E863A2"/>
    <w:rsid w:val="00E95D40"/>
    <w:rsid w:val="00EA550E"/>
    <w:rsid w:val="00EA7009"/>
    <w:rsid w:val="00EA756F"/>
    <w:rsid w:val="00EB5A45"/>
    <w:rsid w:val="00EB5D04"/>
    <w:rsid w:val="00EB732C"/>
    <w:rsid w:val="00EC0A31"/>
    <w:rsid w:val="00EC0DA0"/>
    <w:rsid w:val="00EC36A1"/>
    <w:rsid w:val="00ED1626"/>
    <w:rsid w:val="00ED3D74"/>
    <w:rsid w:val="00ED47FA"/>
    <w:rsid w:val="00ED4C55"/>
    <w:rsid w:val="00ED5B88"/>
    <w:rsid w:val="00ED7BD7"/>
    <w:rsid w:val="00EE1B77"/>
    <w:rsid w:val="00EE24B3"/>
    <w:rsid w:val="00EE3905"/>
    <w:rsid w:val="00EE447A"/>
    <w:rsid w:val="00EE73C2"/>
    <w:rsid w:val="00EE7779"/>
    <w:rsid w:val="00EF3BD8"/>
    <w:rsid w:val="00EF3CAE"/>
    <w:rsid w:val="00EF4FC3"/>
    <w:rsid w:val="00EF5324"/>
    <w:rsid w:val="00F01D59"/>
    <w:rsid w:val="00F02160"/>
    <w:rsid w:val="00F04815"/>
    <w:rsid w:val="00F04CE7"/>
    <w:rsid w:val="00F04F3B"/>
    <w:rsid w:val="00F13755"/>
    <w:rsid w:val="00F14148"/>
    <w:rsid w:val="00F25C13"/>
    <w:rsid w:val="00F2670B"/>
    <w:rsid w:val="00F3054C"/>
    <w:rsid w:val="00F54BC5"/>
    <w:rsid w:val="00F54C76"/>
    <w:rsid w:val="00F63FF7"/>
    <w:rsid w:val="00F70558"/>
    <w:rsid w:val="00F72A2F"/>
    <w:rsid w:val="00F803A9"/>
    <w:rsid w:val="00F82359"/>
    <w:rsid w:val="00F8386F"/>
    <w:rsid w:val="00F85039"/>
    <w:rsid w:val="00F8572E"/>
    <w:rsid w:val="00F866AA"/>
    <w:rsid w:val="00F911E8"/>
    <w:rsid w:val="00F9163A"/>
    <w:rsid w:val="00F9199C"/>
    <w:rsid w:val="00F96A9A"/>
    <w:rsid w:val="00F96B09"/>
    <w:rsid w:val="00FA09A8"/>
    <w:rsid w:val="00FA10D2"/>
    <w:rsid w:val="00FB1539"/>
    <w:rsid w:val="00FD12E4"/>
    <w:rsid w:val="00FD688F"/>
    <w:rsid w:val="00FE0AAA"/>
    <w:rsid w:val="00FE53D9"/>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D2F36"/>
  <w15:chartTrackingRefBased/>
  <w15:docId w15:val="{AB4C57B5-6864-4C0F-BEDE-A7641F8A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lang w:eastAsia="en-US"/>
    </w:rPr>
  </w:style>
  <w:style w:type="paragraph" w:styleId="Heading1">
    <w:name w:val="heading 1"/>
    <w:aliases w:val="Titre 1 GERCO,Überschrift 1f"/>
    <w:basedOn w:val="Normal"/>
    <w:next w:val="Normal"/>
    <w:qFormat/>
    <w:pPr>
      <w:keepNext/>
      <w:jc w:val="center"/>
      <w:outlineLvl w:val="0"/>
    </w:pPr>
    <w:rPr>
      <w:rFonts w:ascii="Arial" w:hAnsi="Arial"/>
      <w:b/>
      <w:color w:val="FF0000"/>
      <w:sz w:val="28"/>
    </w:rPr>
  </w:style>
  <w:style w:type="paragraph" w:styleId="Heading2">
    <w:name w:val="heading 2"/>
    <w:aliases w:val="Titre 2 GERCO,Überschrift 2f"/>
    <w:basedOn w:val="Normal"/>
    <w:next w:val="Normal"/>
    <w:link w:val="Heading2Char"/>
    <w:qFormat/>
    <w:pPr>
      <w:keepNext/>
      <w:ind w:left="1276" w:hanging="425"/>
      <w:jc w:val="both"/>
      <w:outlineLvl w:val="1"/>
    </w:pPr>
    <w:rPr>
      <w:rFonts w:ascii="Arial" w:hAnsi="Arial"/>
      <w:b/>
      <w:sz w:val="20"/>
    </w:rPr>
  </w:style>
  <w:style w:type="paragraph" w:styleId="Heading3">
    <w:name w:val="heading 3"/>
    <w:aliases w:val="Titre 3 GERCO,Überschrift 3f"/>
    <w:basedOn w:val="Normal"/>
    <w:next w:val="Normal"/>
    <w:link w:val="Heading3Char"/>
    <w:qFormat/>
    <w:pPr>
      <w:keepNext/>
      <w:jc w:val="center"/>
      <w:outlineLvl w:val="2"/>
    </w:pPr>
    <w:rPr>
      <w:rFonts w:ascii="Arial" w:hAnsi="Arial"/>
      <w:b/>
      <w:color w:val="FF0000"/>
      <w:sz w:val="36"/>
    </w:rPr>
  </w:style>
  <w:style w:type="paragraph" w:styleId="Heading4">
    <w:name w:val="heading 4"/>
    <w:aliases w:val="Titre 4 GERCO"/>
    <w:basedOn w:val="Normal"/>
    <w:next w:val="Normal"/>
    <w:qFormat/>
    <w:pPr>
      <w:keepNext/>
      <w:numPr>
        <w:ilvl w:val="3"/>
        <w:numId w:val="2"/>
      </w:numPr>
      <w:spacing w:before="240" w:after="60"/>
      <w:outlineLvl w:val="3"/>
    </w:pPr>
    <w:rPr>
      <w:rFonts w:ascii="Arial" w:hAnsi="Arial"/>
      <w:b/>
    </w:rPr>
  </w:style>
  <w:style w:type="paragraph" w:styleId="Heading5">
    <w:name w:val="heading 5"/>
    <w:aliases w:val="5"/>
    <w:basedOn w:val="Normal"/>
    <w:next w:val="Normal"/>
    <w:qFormat/>
    <w:pPr>
      <w:keepNext/>
      <w:jc w:val="both"/>
      <w:outlineLvl w:val="4"/>
    </w:pPr>
    <w:rPr>
      <w:rFonts w:ascii="Arial" w:hAnsi="Arial"/>
      <w:b/>
      <w:sz w:val="20"/>
    </w:rPr>
  </w:style>
  <w:style w:type="paragraph" w:styleId="Heading6">
    <w:name w:val="heading 6"/>
    <w:basedOn w:val="Normal"/>
    <w:next w:val="Normal"/>
    <w:link w:val="Heading6Char"/>
    <w:rsid w:val="00D645BF"/>
    <w:pPr>
      <w:tabs>
        <w:tab w:val="num" w:pos="1152"/>
      </w:tabs>
      <w:spacing w:before="240" w:after="120"/>
      <w:ind w:left="1152" w:hanging="1152"/>
      <w:jc w:val="both"/>
      <w:outlineLvl w:val="5"/>
    </w:pPr>
    <w:rPr>
      <w:b/>
      <w:bCs/>
      <w:snapToGrid/>
      <w:sz w:val="22"/>
      <w:szCs w:val="24"/>
      <w:lang w:eastAsia="fr-FR"/>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paragraph" w:styleId="Heading9">
    <w:name w:val="heading 9"/>
    <w:basedOn w:val="Normal"/>
    <w:next w:val="Normal"/>
    <w:link w:val="Heading9Char"/>
    <w:rsid w:val="00D645BF"/>
    <w:pPr>
      <w:tabs>
        <w:tab w:val="num" w:pos="1584"/>
      </w:tabs>
      <w:spacing w:before="240" w:after="120"/>
      <w:ind w:left="1584" w:hanging="1584"/>
      <w:jc w:val="both"/>
      <w:outlineLvl w:val="8"/>
    </w:pPr>
    <w:rPr>
      <w:rFonts w:ascii="Arial" w:hAnsi="Arial" w:cs="Arial"/>
      <w:snapToGrid/>
      <w:sz w:val="22"/>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
    <w:qFormat/>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rPr>
  </w:style>
  <w:style w:type="paragraph" w:styleId="Title">
    <w:name w:val="Title"/>
    <w:basedOn w:val="Normal"/>
    <w:link w:val="TitleChar"/>
    <w:qFormat/>
    <w:pPr>
      <w:spacing w:before="120" w:after="120"/>
      <w:jc w:val="center"/>
    </w:pPr>
    <w:rPr>
      <w:rFonts w:ascii="Arial" w:hAnsi="Arial"/>
      <w:b/>
      <w:sz w:val="28"/>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semiHidden/>
    <w:rsid w:val="0028152C"/>
    <w:pPr>
      <w:tabs>
        <w:tab w:val="right" w:leader="dot" w:pos="8641"/>
      </w:tabs>
      <w:spacing w:before="240" w:after="120"/>
      <w:ind w:right="720"/>
      <w:jc w:val="both"/>
    </w:pPr>
    <w:rPr>
      <w:caps/>
      <w:snapToGrid/>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Heading2Char">
    <w:name w:val="Heading 2 Char"/>
    <w:aliases w:val="Titre 2 GERCO Char,Überschrift 2f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Heading3Char">
    <w:name w:val="Heading 3 Char"/>
    <w:aliases w:val="Titre 3 GERCO Char,Überschrift 3f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4"/>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uiPriority w:val="99"/>
    <w:rsid w:val="004842DD"/>
    <w:rPr>
      <w:sz w:val="20"/>
    </w:rPr>
  </w:style>
  <w:style w:type="paragraph" w:styleId="CommentSubject">
    <w:name w:val="annotation subject"/>
    <w:basedOn w:val="CommentText"/>
    <w:next w:val="CommentText"/>
    <w:semiHidden/>
    <w:rsid w:val="004842DD"/>
    <w:rPr>
      <w:b/>
      <w:bCs/>
    </w:rPr>
  </w:style>
  <w:style w:type="character" w:customStyle="1" w:styleId="TitleChar">
    <w:name w:val="Title Char"/>
    <w:link w:val="Title"/>
    <w:locked/>
    <w:rsid w:val="00553F9E"/>
    <w:rPr>
      <w:rFonts w:ascii="Arial" w:hAnsi="Arial"/>
      <w:b/>
      <w:snapToGrid w:val="0"/>
      <w:sz w:val="28"/>
      <w:lang w:val="fr-FR" w:eastAsia="en-US" w:bidi="ar-SA"/>
    </w:rPr>
  </w:style>
  <w:style w:type="paragraph" w:styleId="ListNumber">
    <w:name w:val="List Number"/>
    <w:basedOn w:val="Normal"/>
    <w:rsid w:val="0028152C"/>
    <w:pPr>
      <w:numPr>
        <w:numId w:val="20"/>
      </w:numPr>
      <w:spacing w:after="240"/>
      <w:jc w:val="both"/>
    </w:pPr>
    <w:rPr>
      <w:snapToGrid/>
    </w:rPr>
  </w:style>
  <w:style w:type="paragraph" w:customStyle="1" w:styleId="ListNumberLevel2">
    <w:name w:val="List Number (Level 2)"/>
    <w:basedOn w:val="Normal"/>
    <w:rsid w:val="0028152C"/>
    <w:pPr>
      <w:numPr>
        <w:ilvl w:val="1"/>
        <w:numId w:val="20"/>
      </w:numPr>
      <w:spacing w:after="240"/>
      <w:jc w:val="both"/>
    </w:pPr>
    <w:rPr>
      <w:snapToGrid/>
    </w:rPr>
  </w:style>
  <w:style w:type="paragraph" w:customStyle="1" w:styleId="ListNumberLevel3">
    <w:name w:val="List Number (Level 3)"/>
    <w:basedOn w:val="Normal"/>
    <w:rsid w:val="0028152C"/>
    <w:pPr>
      <w:numPr>
        <w:ilvl w:val="2"/>
        <w:numId w:val="20"/>
      </w:numPr>
      <w:spacing w:after="240"/>
      <w:jc w:val="both"/>
    </w:pPr>
    <w:rPr>
      <w:snapToGrid/>
    </w:rPr>
  </w:style>
  <w:style w:type="paragraph" w:customStyle="1" w:styleId="ListNumberLevel4">
    <w:name w:val="List Number (Level 4)"/>
    <w:basedOn w:val="Normal"/>
    <w:rsid w:val="0028152C"/>
    <w:pPr>
      <w:numPr>
        <w:ilvl w:val="3"/>
        <w:numId w:val="20"/>
      </w:numPr>
      <w:spacing w:after="240"/>
      <w:jc w:val="both"/>
    </w:pPr>
    <w:rPr>
      <w:snapToGrid/>
    </w:rPr>
  </w:style>
  <w:style w:type="character" w:customStyle="1" w:styleId="FooterChar">
    <w:name w:val="Footer Char"/>
    <w:link w:val="Footer"/>
    <w:rsid w:val="00745CC9"/>
    <w:rPr>
      <w:snapToGrid w:val="0"/>
      <w:sz w:val="24"/>
      <w:lang w:eastAsia="en-US"/>
    </w:rPr>
  </w:style>
  <w:style w:type="character" w:customStyle="1" w:styleId="CommentTextChar">
    <w:name w:val="Comment Text Char"/>
    <w:link w:val="CommentText"/>
    <w:uiPriority w:val="99"/>
    <w:rsid w:val="00C261B3"/>
    <w:rPr>
      <w:snapToGrid w:val="0"/>
      <w:lang w:eastAsia="en-US"/>
    </w:rPr>
  </w:style>
  <w:style w:type="character" w:customStyle="1" w:styleId="hps">
    <w:name w:val="hps"/>
    <w:rsid w:val="00821569"/>
  </w:style>
  <w:style w:type="paragraph" w:styleId="ListParagraph">
    <w:name w:val="List Paragraph"/>
    <w:aliases w:val="Bullets,List Paragraph (numbered (a)),Puce niveau 1,Liste niv 1 GERCO,Citation List,본문(내용),Colorful List - Accent 11,List Paragraph nowy,References,Liste 1,List Paragraph1,List Bullet Mary,Bullet L1,Use Case List Paragraph,Resume Tit"/>
    <w:basedOn w:val="Normal"/>
    <w:link w:val="ListParagraphChar"/>
    <w:uiPriority w:val="34"/>
    <w:qFormat/>
    <w:rsid w:val="00EC36A1"/>
    <w:pPr>
      <w:ind w:left="720"/>
    </w:pPr>
    <w:rPr>
      <w:rFonts w:ascii="Calibri" w:hAnsi="Calibri"/>
      <w:noProof/>
      <w:snapToGrid/>
      <w:sz w:val="22"/>
      <w:szCs w:val="22"/>
    </w:rPr>
  </w:style>
  <w:style w:type="paragraph" w:styleId="Revision">
    <w:name w:val="Revision"/>
    <w:hidden/>
    <w:uiPriority w:val="99"/>
    <w:semiHidden/>
    <w:rsid w:val="00F02160"/>
    <w:rPr>
      <w:snapToGrid w:val="0"/>
      <w:sz w:val="24"/>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5C0F07"/>
    <w:rPr>
      <w:snapToGrid w:val="0"/>
      <w:lang w:eastAsia="en-US"/>
    </w:rPr>
  </w:style>
  <w:style w:type="paragraph" w:customStyle="1" w:styleId="Contact">
    <w:name w:val="Contact"/>
    <w:basedOn w:val="Normal"/>
    <w:next w:val="Normal"/>
    <w:rsid w:val="0028152C"/>
    <w:pPr>
      <w:spacing w:after="480"/>
      <w:ind w:left="567" w:hanging="567"/>
    </w:pPr>
    <w:rPr>
      <w:snapToGrid/>
    </w:rPr>
  </w:style>
  <w:style w:type="paragraph" w:styleId="ListBullet">
    <w:name w:val="List Bullet"/>
    <w:basedOn w:val="Normal"/>
    <w:rsid w:val="0028152C"/>
    <w:pPr>
      <w:numPr>
        <w:numId w:val="10"/>
      </w:numPr>
      <w:spacing w:after="240"/>
      <w:jc w:val="both"/>
    </w:pPr>
    <w:rPr>
      <w:snapToGrid/>
    </w:rPr>
  </w:style>
  <w:style w:type="paragraph" w:customStyle="1" w:styleId="ListBullet1">
    <w:name w:val="List Bullet 1"/>
    <w:basedOn w:val="Text1"/>
    <w:rsid w:val="0028152C"/>
    <w:pPr>
      <w:numPr>
        <w:numId w:val="11"/>
      </w:numPr>
      <w:spacing w:before="0" w:after="240"/>
    </w:pPr>
    <w:rPr>
      <w:snapToGrid/>
    </w:rPr>
  </w:style>
  <w:style w:type="paragraph" w:styleId="ListBullet2">
    <w:name w:val="List Bullet 2"/>
    <w:basedOn w:val="Text2"/>
    <w:rsid w:val="0028152C"/>
    <w:pPr>
      <w:numPr>
        <w:numId w:val="12"/>
      </w:numPr>
      <w:tabs>
        <w:tab w:val="clear" w:pos="2160"/>
      </w:tabs>
    </w:pPr>
  </w:style>
  <w:style w:type="paragraph" w:styleId="ListBullet3">
    <w:name w:val="List Bullet 3"/>
    <w:basedOn w:val="Normal"/>
    <w:rsid w:val="0028152C"/>
    <w:pPr>
      <w:numPr>
        <w:numId w:val="13"/>
      </w:numPr>
      <w:spacing w:after="240"/>
      <w:jc w:val="both"/>
    </w:pPr>
    <w:rPr>
      <w:snapToGrid/>
    </w:rPr>
  </w:style>
  <w:style w:type="paragraph" w:styleId="ListBullet4">
    <w:name w:val="List Bullet 4"/>
    <w:basedOn w:val="Normal"/>
    <w:rsid w:val="0028152C"/>
    <w:pPr>
      <w:numPr>
        <w:numId w:val="14"/>
      </w:numPr>
      <w:spacing w:after="240"/>
      <w:jc w:val="both"/>
    </w:pPr>
    <w:rPr>
      <w:snapToGrid/>
    </w:rPr>
  </w:style>
  <w:style w:type="paragraph" w:customStyle="1" w:styleId="ListDash">
    <w:name w:val="List Dash"/>
    <w:basedOn w:val="Normal"/>
    <w:rsid w:val="0028152C"/>
    <w:pPr>
      <w:numPr>
        <w:numId w:val="15"/>
      </w:numPr>
      <w:spacing w:after="240"/>
      <w:jc w:val="both"/>
    </w:pPr>
    <w:rPr>
      <w:snapToGrid/>
    </w:rPr>
  </w:style>
  <w:style w:type="paragraph" w:customStyle="1" w:styleId="ListDash1">
    <w:name w:val="List Dash 1"/>
    <w:basedOn w:val="Text1"/>
    <w:rsid w:val="0028152C"/>
    <w:pPr>
      <w:numPr>
        <w:numId w:val="16"/>
      </w:numPr>
      <w:spacing w:before="0" w:after="240"/>
    </w:pPr>
    <w:rPr>
      <w:snapToGrid/>
    </w:rPr>
  </w:style>
  <w:style w:type="paragraph" w:customStyle="1" w:styleId="ListDash2">
    <w:name w:val="List Dash 2"/>
    <w:basedOn w:val="Text2"/>
    <w:rsid w:val="0028152C"/>
    <w:pPr>
      <w:numPr>
        <w:numId w:val="17"/>
      </w:numPr>
      <w:tabs>
        <w:tab w:val="clear" w:pos="2160"/>
      </w:tabs>
    </w:pPr>
  </w:style>
  <w:style w:type="paragraph" w:customStyle="1" w:styleId="ListDash3">
    <w:name w:val="List Dash 3"/>
    <w:basedOn w:val="Normal"/>
    <w:rsid w:val="0028152C"/>
    <w:pPr>
      <w:numPr>
        <w:numId w:val="18"/>
      </w:numPr>
      <w:spacing w:after="240"/>
      <w:jc w:val="both"/>
    </w:pPr>
    <w:rPr>
      <w:snapToGrid/>
    </w:rPr>
  </w:style>
  <w:style w:type="paragraph" w:customStyle="1" w:styleId="ListDash4">
    <w:name w:val="List Dash 4"/>
    <w:basedOn w:val="Normal"/>
    <w:rsid w:val="0028152C"/>
    <w:pPr>
      <w:numPr>
        <w:numId w:val="19"/>
      </w:numPr>
      <w:spacing w:after="240"/>
      <w:jc w:val="both"/>
    </w:pPr>
    <w:rPr>
      <w:snapToGrid/>
    </w:rPr>
  </w:style>
  <w:style w:type="paragraph" w:customStyle="1" w:styleId="ListNumber1">
    <w:name w:val="List Number 1"/>
    <w:basedOn w:val="Text1"/>
    <w:rsid w:val="0028152C"/>
    <w:pPr>
      <w:numPr>
        <w:numId w:val="21"/>
      </w:numPr>
      <w:spacing w:before="0" w:after="240"/>
    </w:pPr>
    <w:rPr>
      <w:snapToGrid/>
    </w:rPr>
  </w:style>
  <w:style w:type="paragraph" w:styleId="ListNumber2">
    <w:name w:val="List Number 2"/>
    <w:basedOn w:val="Text2"/>
    <w:rsid w:val="0028152C"/>
    <w:pPr>
      <w:numPr>
        <w:numId w:val="22"/>
      </w:numPr>
      <w:tabs>
        <w:tab w:val="clear" w:pos="2160"/>
      </w:tabs>
    </w:pPr>
  </w:style>
  <w:style w:type="paragraph" w:styleId="ListNumber3">
    <w:name w:val="List Number 3"/>
    <w:basedOn w:val="Normal"/>
    <w:rsid w:val="0028152C"/>
    <w:pPr>
      <w:numPr>
        <w:numId w:val="23"/>
      </w:numPr>
      <w:spacing w:after="240"/>
      <w:jc w:val="both"/>
    </w:pPr>
    <w:rPr>
      <w:snapToGrid/>
    </w:rPr>
  </w:style>
  <w:style w:type="paragraph" w:styleId="ListNumber4">
    <w:name w:val="List Number 4"/>
    <w:basedOn w:val="Normal"/>
    <w:rsid w:val="0028152C"/>
    <w:pPr>
      <w:numPr>
        <w:numId w:val="24"/>
      </w:numPr>
      <w:spacing w:after="240"/>
      <w:jc w:val="both"/>
    </w:pPr>
    <w:rPr>
      <w:snapToGrid/>
    </w:rPr>
  </w:style>
  <w:style w:type="paragraph" w:customStyle="1" w:styleId="ListNumber1Level2">
    <w:name w:val="List Number 1 (Level 2)"/>
    <w:basedOn w:val="Text1"/>
    <w:rsid w:val="0028152C"/>
    <w:pPr>
      <w:numPr>
        <w:ilvl w:val="1"/>
        <w:numId w:val="21"/>
      </w:numPr>
      <w:spacing w:before="0" w:after="240"/>
    </w:pPr>
    <w:rPr>
      <w:snapToGrid/>
    </w:rPr>
  </w:style>
  <w:style w:type="paragraph" w:customStyle="1" w:styleId="ListNumber2Level2">
    <w:name w:val="List Number 2 (Level 2)"/>
    <w:basedOn w:val="Text2"/>
    <w:rsid w:val="0028152C"/>
    <w:pPr>
      <w:numPr>
        <w:ilvl w:val="1"/>
        <w:numId w:val="22"/>
      </w:numPr>
      <w:tabs>
        <w:tab w:val="clear" w:pos="2160"/>
      </w:tabs>
    </w:pPr>
  </w:style>
  <w:style w:type="paragraph" w:customStyle="1" w:styleId="ListNumber3Level2">
    <w:name w:val="List Number 3 (Level 2)"/>
    <w:basedOn w:val="Normal"/>
    <w:rsid w:val="0028152C"/>
    <w:pPr>
      <w:numPr>
        <w:ilvl w:val="1"/>
        <w:numId w:val="23"/>
      </w:numPr>
      <w:spacing w:after="240"/>
      <w:jc w:val="both"/>
    </w:pPr>
    <w:rPr>
      <w:snapToGrid/>
    </w:rPr>
  </w:style>
  <w:style w:type="paragraph" w:customStyle="1" w:styleId="ListNumber4Level2">
    <w:name w:val="List Number 4 (Level 2)"/>
    <w:basedOn w:val="Normal"/>
    <w:rsid w:val="0028152C"/>
    <w:pPr>
      <w:numPr>
        <w:ilvl w:val="1"/>
        <w:numId w:val="24"/>
      </w:numPr>
      <w:spacing w:after="240"/>
      <w:jc w:val="both"/>
    </w:pPr>
    <w:rPr>
      <w:snapToGrid/>
    </w:rPr>
  </w:style>
  <w:style w:type="paragraph" w:customStyle="1" w:styleId="ListNumber1Level3">
    <w:name w:val="List Number 1 (Level 3)"/>
    <w:basedOn w:val="Text1"/>
    <w:rsid w:val="0028152C"/>
    <w:pPr>
      <w:numPr>
        <w:ilvl w:val="2"/>
        <w:numId w:val="21"/>
      </w:numPr>
      <w:spacing w:before="0" w:after="240"/>
    </w:pPr>
    <w:rPr>
      <w:snapToGrid/>
    </w:rPr>
  </w:style>
  <w:style w:type="paragraph" w:customStyle="1" w:styleId="ListNumber2Level3">
    <w:name w:val="List Number 2 (Level 3)"/>
    <w:basedOn w:val="Text2"/>
    <w:rsid w:val="0028152C"/>
    <w:pPr>
      <w:numPr>
        <w:ilvl w:val="2"/>
        <w:numId w:val="22"/>
      </w:numPr>
      <w:tabs>
        <w:tab w:val="clear" w:pos="2160"/>
      </w:tabs>
    </w:pPr>
  </w:style>
  <w:style w:type="paragraph" w:customStyle="1" w:styleId="ListNumber3Level3">
    <w:name w:val="List Number 3 (Level 3)"/>
    <w:basedOn w:val="Normal"/>
    <w:rsid w:val="0028152C"/>
    <w:pPr>
      <w:numPr>
        <w:ilvl w:val="2"/>
        <w:numId w:val="23"/>
      </w:numPr>
      <w:spacing w:after="240"/>
      <w:jc w:val="both"/>
    </w:pPr>
    <w:rPr>
      <w:snapToGrid/>
    </w:rPr>
  </w:style>
  <w:style w:type="paragraph" w:customStyle="1" w:styleId="ListNumber4Level3">
    <w:name w:val="List Number 4 (Level 3)"/>
    <w:basedOn w:val="Normal"/>
    <w:rsid w:val="0028152C"/>
    <w:pPr>
      <w:numPr>
        <w:ilvl w:val="2"/>
        <w:numId w:val="24"/>
      </w:numPr>
      <w:spacing w:after="240"/>
      <w:jc w:val="both"/>
    </w:pPr>
    <w:rPr>
      <w:snapToGrid/>
    </w:rPr>
  </w:style>
  <w:style w:type="paragraph" w:customStyle="1" w:styleId="ListNumber1Level4">
    <w:name w:val="List Number 1 (Level 4)"/>
    <w:basedOn w:val="Text1"/>
    <w:rsid w:val="0028152C"/>
    <w:pPr>
      <w:numPr>
        <w:ilvl w:val="3"/>
        <w:numId w:val="21"/>
      </w:numPr>
      <w:spacing w:before="0" w:after="240"/>
    </w:pPr>
    <w:rPr>
      <w:snapToGrid/>
    </w:rPr>
  </w:style>
  <w:style w:type="paragraph" w:customStyle="1" w:styleId="ListNumber2Level4">
    <w:name w:val="List Number 2 (Level 4)"/>
    <w:basedOn w:val="Text2"/>
    <w:rsid w:val="0028152C"/>
    <w:pPr>
      <w:numPr>
        <w:ilvl w:val="3"/>
        <w:numId w:val="22"/>
      </w:numPr>
      <w:tabs>
        <w:tab w:val="clear" w:pos="2160"/>
      </w:tabs>
    </w:pPr>
  </w:style>
  <w:style w:type="paragraph" w:customStyle="1" w:styleId="ListNumber3Level4">
    <w:name w:val="List Number 3 (Level 4)"/>
    <w:basedOn w:val="Normal"/>
    <w:rsid w:val="0028152C"/>
    <w:pPr>
      <w:numPr>
        <w:ilvl w:val="3"/>
        <w:numId w:val="23"/>
      </w:numPr>
      <w:spacing w:after="240"/>
      <w:jc w:val="both"/>
    </w:pPr>
    <w:rPr>
      <w:snapToGrid/>
    </w:rPr>
  </w:style>
  <w:style w:type="paragraph" w:customStyle="1" w:styleId="ListNumber4Level4">
    <w:name w:val="List Number 4 (Level 4)"/>
    <w:basedOn w:val="Normal"/>
    <w:rsid w:val="0028152C"/>
    <w:pPr>
      <w:numPr>
        <w:ilvl w:val="3"/>
        <w:numId w:val="24"/>
      </w:numPr>
      <w:spacing w:after="240"/>
      <w:jc w:val="both"/>
    </w:pPr>
    <w:rPr>
      <w:snapToGrid/>
    </w:rPr>
  </w:style>
  <w:style w:type="paragraph" w:styleId="TOCHeading">
    <w:name w:val="TOC Heading"/>
    <w:basedOn w:val="Normal"/>
    <w:next w:val="Normal"/>
    <w:qFormat/>
    <w:rsid w:val="0028152C"/>
    <w:pPr>
      <w:keepNext/>
      <w:spacing w:before="240" w:after="240"/>
      <w:jc w:val="center"/>
    </w:pPr>
    <w:rPr>
      <w:b/>
      <w:snapToGrid/>
    </w:rPr>
  </w:style>
  <w:style w:type="paragraph" w:customStyle="1" w:styleId="Article">
    <w:name w:val="Article"/>
    <w:basedOn w:val="Normal"/>
    <w:link w:val="ArticleChar"/>
    <w:autoRedefine/>
    <w:qFormat/>
    <w:rsid w:val="009D3DDD"/>
    <w:pPr>
      <w:keepNext/>
      <w:numPr>
        <w:numId w:val="25"/>
      </w:numPr>
      <w:tabs>
        <w:tab w:val="left" w:pos="1560"/>
      </w:tabs>
      <w:spacing w:before="360" w:after="120" w:line="276" w:lineRule="auto"/>
    </w:pPr>
    <w:rPr>
      <w:rFonts w:eastAsia="Calibri"/>
      <w:b/>
      <w:snapToGrid/>
      <w:szCs w:val="22"/>
    </w:rPr>
  </w:style>
  <w:style w:type="paragraph" w:customStyle="1" w:styleId="pointarticle">
    <w:name w:val="point article"/>
    <w:basedOn w:val="Heading2"/>
    <w:link w:val="pointarticleChar"/>
    <w:autoRedefine/>
    <w:qFormat/>
    <w:rsid w:val="000D2A8C"/>
    <w:pPr>
      <w:keepNext w:val="0"/>
      <w:spacing w:after="120"/>
      <w:ind w:hanging="709"/>
    </w:pPr>
    <w:rPr>
      <w:rFonts w:ascii="Times New Roman" w:hAnsi="Times New Roman"/>
      <w:b w:val="0"/>
      <w:bCs/>
      <w:iCs/>
      <w:snapToGrid/>
      <w:sz w:val="22"/>
      <w:szCs w:val="28"/>
    </w:rPr>
  </w:style>
  <w:style w:type="character" w:customStyle="1" w:styleId="ArticleChar">
    <w:name w:val="Article Char"/>
    <w:link w:val="Article"/>
    <w:rsid w:val="009D3DDD"/>
    <w:rPr>
      <w:rFonts w:eastAsia="Calibri"/>
      <w:b/>
      <w:sz w:val="24"/>
      <w:szCs w:val="22"/>
      <w:lang w:eastAsia="en-US"/>
    </w:rPr>
  </w:style>
  <w:style w:type="character" w:customStyle="1" w:styleId="pointarticleChar">
    <w:name w:val="point article Char"/>
    <w:link w:val="pointarticle"/>
    <w:rsid w:val="000D2A8C"/>
    <w:rPr>
      <w:bCs/>
      <w:iCs/>
      <w:sz w:val="22"/>
      <w:szCs w:val="28"/>
      <w:lang w:eastAsia="en-US"/>
    </w:rPr>
  </w:style>
  <w:style w:type="character" w:customStyle="1" w:styleId="ListParagraphChar">
    <w:name w:val="List Paragraph Char"/>
    <w:aliases w:val="Bullets Char,List Paragraph (numbered (a)) Char,Puce niveau 1 Char,Liste niv 1 GERCO Char,Citation List Char,본문(내용) Char,Colorful List - Accent 11 Char,List Paragraph nowy Char,References Char,Liste 1 Char,List Paragraph1 Char"/>
    <w:link w:val="ListParagraph"/>
    <w:uiPriority w:val="34"/>
    <w:qFormat/>
    <w:locked/>
    <w:rsid w:val="00D1275E"/>
    <w:rPr>
      <w:rFonts w:ascii="Calibri" w:hAnsi="Calibri"/>
      <w:noProof/>
      <w:sz w:val="22"/>
      <w:szCs w:val="22"/>
      <w:lang w:eastAsia="en-US"/>
    </w:rPr>
  </w:style>
  <w:style w:type="table" w:styleId="LightList-Accent1">
    <w:name w:val="Light List Accent 1"/>
    <w:basedOn w:val="TableNormal"/>
    <w:uiPriority w:val="61"/>
    <w:unhideWhenUsed/>
    <w:rsid w:val="00D1275E"/>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Heading6Char">
    <w:name w:val="Heading 6 Char"/>
    <w:link w:val="Heading6"/>
    <w:rsid w:val="00D645BF"/>
    <w:rPr>
      <w:b/>
      <w:bCs/>
      <w:sz w:val="22"/>
      <w:szCs w:val="24"/>
    </w:rPr>
  </w:style>
  <w:style w:type="character" w:customStyle="1" w:styleId="Heading9Char">
    <w:name w:val="Heading 9 Char"/>
    <w:link w:val="Heading9"/>
    <w:rsid w:val="00D645BF"/>
    <w:rPr>
      <w:rFonts w:ascii="Arial" w:hAnsi="Arial" w:cs="Arial"/>
      <w:sz w:val="22"/>
      <w:szCs w:val="24"/>
    </w:rPr>
  </w:style>
  <w:style w:type="table" w:customStyle="1" w:styleId="Grilledutableau9">
    <w:name w:val="Grille du tableau9"/>
    <w:basedOn w:val="TableNormal"/>
    <w:next w:val="TableGrid"/>
    <w:uiPriority w:val="59"/>
    <w:rsid w:val="00D645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D8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2052">
      <w:bodyDiv w:val="1"/>
      <w:marLeft w:val="0"/>
      <w:marRight w:val="0"/>
      <w:marTop w:val="0"/>
      <w:marBottom w:val="0"/>
      <w:divBdr>
        <w:top w:val="none" w:sz="0" w:space="0" w:color="auto"/>
        <w:left w:val="none" w:sz="0" w:space="0" w:color="auto"/>
        <w:bottom w:val="none" w:sz="0" w:space="0" w:color="auto"/>
        <w:right w:val="none" w:sz="0" w:space="0" w:color="auto"/>
      </w:divBdr>
    </w:div>
    <w:div w:id="477966153">
      <w:bodyDiv w:val="1"/>
      <w:marLeft w:val="0"/>
      <w:marRight w:val="0"/>
      <w:marTop w:val="0"/>
      <w:marBottom w:val="0"/>
      <w:divBdr>
        <w:top w:val="none" w:sz="0" w:space="0" w:color="auto"/>
        <w:left w:val="none" w:sz="0" w:space="0" w:color="auto"/>
        <w:bottom w:val="none" w:sz="0" w:space="0" w:color="auto"/>
        <w:right w:val="none" w:sz="0" w:space="0" w:color="auto"/>
      </w:divBdr>
    </w:div>
    <w:div w:id="1363746067">
      <w:bodyDiv w:val="1"/>
      <w:marLeft w:val="0"/>
      <w:marRight w:val="0"/>
      <w:marTop w:val="0"/>
      <w:marBottom w:val="0"/>
      <w:divBdr>
        <w:top w:val="none" w:sz="0" w:space="0" w:color="auto"/>
        <w:left w:val="none" w:sz="0" w:space="0" w:color="auto"/>
        <w:bottom w:val="none" w:sz="0" w:space="0" w:color="auto"/>
        <w:right w:val="none" w:sz="0" w:space="0" w:color="auto"/>
      </w:divBdr>
    </w:div>
    <w:div w:id="1701852686">
      <w:bodyDiv w:val="1"/>
      <w:marLeft w:val="0"/>
      <w:marRight w:val="0"/>
      <w:marTop w:val="0"/>
      <w:marBottom w:val="0"/>
      <w:divBdr>
        <w:top w:val="none" w:sz="0" w:space="0" w:color="auto"/>
        <w:left w:val="none" w:sz="0" w:space="0" w:color="auto"/>
        <w:bottom w:val="none" w:sz="0" w:space="0" w:color="auto"/>
        <w:right w:val="none" w:sz="0" w:space="0" w:color="auto"/>
      </w:divBdr>
    </w:div>
    <w:div w:id="1989361558">
      <w:bodyDiv w:val="1"/>
      <w:marLeft w:val="0"/>
      <w:marRight w:val="0"/>
      <w:marTop w:val="0"/>
      <w:marBottom w:val="0"/>
      <w:divBdr>
        <w:top w:val="none" w:sz="0" w:space="0" w:color="auto"/>
        <w:left w:val="none" w:sz="0" w:space="0" w:color="auto"/>
        <w:bottom w:val="none" w:sz="0" w:space="0" w:color="auto"/>
        <w:right w:val="none" w:sz="0" w:space="0" w:color="auto"/>
      </w:divBdr>
    </w:div>
    <w:div w:id="2053579844">
      <w:bodyDiv w:val="1"/>
      <w:marLeft w:val="0"/>
      <w:marRight w:val="0"/>
      <w:marTop w:val="0"/>
      <w:marBottom w:val="0"/>
      <w:divBdr>
        <w:top w:val="none" w:sz="0" w:space="0" w:color="auto"/>
        <w:left w:val="none" w:sz="0" w:space="0" w:color="auto"/>
        <w:bottom w:val="none" w:sz="0" w:space="0" w:color="auto"/>
        <w:right w:val="none" w:sz="0" w:space="0" w:color="auto"/>
      </w:divBdr>
    </w:div>
    <w:div w:id="21350537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ps://international-partnerships.ec.europa.eu/knowledge-hub/communicating-and-ra"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hyperlink" Target="mailto:Delegation-madagascar@eeas.europa.eu" TargetMode="Externa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fafinord_marches_dpc@yahoo.com" TargetMode="Externa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FBB9-B960-448E-9C23-C7DF8C70D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BB7F9-851D-4DCE-B193-CC74B1DF3F87}">
  <ds:schemaRefs>
    <ds:schemaRef ds:uri="http://schemas.microsoft.com/sharepoint/v3/contenttype/forms"/>
  </ds:schemaRefs>
</ds:datastoreItem>
</file>

<file path=customXml/itemProps3.xml><?xml version="1.0" encoding="utf-8"?>
<ds:datastoreItem xmlns:ds="http://schemas.openxmlformats.org/officeDocument/2006/customXml" ds:itemID="{6F903E83-F9FC-4A83-AC6D-FC421868C3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B26E82-74B8-4A2E-878B-4E045DAC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14</Pages>
  <Words>5849</Words>
  <Characters>32172</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&lt;LETTRE D’INVITATION À SOUMISSIONNER&gt;</vt:lpstr>
      <vt:lpstr>&lt;LETTRE D’INVITATION À SOUMISSIONNER&gt;</vt:lpstr>
    </vt:vector>
  </TitlesOfParts>
  <Company>European Commission</Company>
  <LinksUpToDate>false</LinksUpToDate>
  <CharactersWithSpaces>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Heritiana Rakotonandrasana</cp:lastModifiedBy>
  <cp:revision>7</cp:revision>
  <cp:lastPrinted>2023-02-20T06:53:00Z</cp:lastPrinted>
  <dcterms:created xsi:type="dcterms:W3CDTF">2023-02-17T14:30:00Z</dcterms:created>
  <dcterms:modified xsi:type="dcterms:W3CDTF">2023-02-21T09:45:00Z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ContentTypeId">
    <vt:lpwstr>0x010100724FDE23FB365D4CB8B2901107175F9F</vt:lpwstr>
  </property>
</Properties>
</file>